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40"/>
        <w:jc w:val="center"/>
      </w:pPr>
      <w:r>
        <w:rPr>
          <w:rFonts w:ascii="Playfair Display" w:cs="Playfair Display" w:eastAsia="Playfair Display" w:hAnsi="Playfair Display"/>
          <w:color w:val="16171A"/>
          <w:sz w:val="120"/>
          <w:szCs w:val="120"/>
        </w:rPr>
        <w:t xml:space="preserve">C R O N O S</w:t>
      </w:r>
    </w:p>
    <w:p>
      <w:pPr>
        <w:spacing w:after="400"/>
        <w:jc w:val="center"/>
      </w:pPr>
      <w:r>
        <w:rPr>
          <w:rFonts w:ascii="JetBrains Mono" w:cs="JetBrains Mono" w:eastAsia="JetBrains Mono" w:hAnsi="JetBrains Mono"/>
          <w:color w:val="8A8D91"/>
          <w:spacing w:val="120"/>
          <w:sz w:val="20"/>
          <w:szCs w:val="20"/>
        </w:rPr>
        <w:t xml:space="preserve">O TEMPO, ESCULPIDO</w:t>
      </w:r>
    </w:p>
    <w:p>
      <w:pPr>
        <w:spacing w:after="40"/>
        <w:jc w:val="center"/>
      </w:pPr>
      <w:r>
        <w:rPr>
          <w:rFonts w:ascii="Inter" w:cs="Inter" w:eastAsia="Inter" w:hAnsi="Inter"/>
          <w:i/>
          <w:iCs/>
          <w:color w:val="4A4E54"/>
          <w:sz w:val="22"/>
          <w:szCs w:val="22"/>
        </w:rPr>
        <w:t xml:space="preserve">Manual de Marca &amp; Direção de Arte</w:t>
      </w:r>
    </w:p>
    <w:p>
      <w:pPr>
        <w:jc w:val="center"/>
      </w:pPr>
      <w:r>
        <w:rPr>
          <w:rFonts w:ascii="Inter" w:cs="Inter" w:eastAsia="Inter" w:hAnsi="Inter"/>
          <w:color w:val="8A8D91"/>
          <w:sz w:val="18"/>
          <w:szCs w:val="18"/>
        </w:rPr>
        <w:t xml:space="preserve">Relojoaria mecânica contemporânea  ·  v1.0</w:t>
      </w:r>
    </w:p>
    <w:p>
      <w:r>
        <w:br w:type="page"/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01 — FUNDAMENTO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Posicionamento</w:t>
      </w:r>
    </w:p>
    <w:p>
      <w:pPr>
        <w:pBdr>
          <w:bottom w:val="single" w:color="D8D5CE" w:sz="6" w:space="1"/>
        </w:pBdr>
        <w:spacing w:after="240" w:before="120"/>
      </w:pPr>
    </w:p>
    <w:p>
      <w:pPr>
        <w:spacing w:after="140" w:line="300"/>
      </w:pPr>
      <w:r>
        <w:rPr>
          <w:rFonts w:ascii="Inter" w:cs="Inter" w:eastAsia="Inter" w:hAnsi="Inter"/>
          <w:b/>
          <w:bCs/>
          <w:color w:val="16171A"/>
          <w:sz w:val="21"/>
          <w:szCs w:val="21"/>
        </w:rPr>
        <w:t xml:space="preserve">CRONOS</w:t>
      </w:r>
      <w:r>
        <w:rPr>
          <w:rFonts w:ascii="Inter" w:cs="Inter" w:eastAsia="Inter" w:hAnsi="Inter"/>
          <w:color w:val="16171A"/>
          <w:sz w:val="21"/>
          <w:szCs w:val="21"/>
        </w:rPr>
        <w:t xml:space="preserve"> é uma relojoaria mecânica que trata o tempo como material — não como acessório. A marca se afasta do luxo tradicional de vitrine dourada e adota uma leitura fria, arquitetônica, quase de galeria. Cada peça é apresentada como um objeto de engenharia elevado à condição de escultura.</w:t>
      </w: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O público não compra para exibir status óbvio. Compra pela obsessão com a precisão, pelo respeito ao mecanismo e pela discrição de quem reconhece qualidade sem precisar anunciá-la. O território é o do colecionador informado, não o do consumidor de logo.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Frase-manifesto</w:t>
      </w:r>
    </w:p>
    <w:p>
      <w:pPr>
        <w:pBdr>
          <w:left w:val="single" w:color="B8BCC0" w:sz="18" w:space="200"/>
        </w:pBdr>
        <w:spacing w:after="200" w:before="60"/>
        <w:ind w:left="360"/>
      </w:pPr>
      <w:r>
        <w:rPr>
          <w:rFonts w:ascii="Playfair Display" w:cs="Playfair Display" w:eastAsia="Playfair Display" w:hAnsi="Playfair Display"/>
          <w:i/>
          <w:iCs/>
          <w:color w:val="4A4E54"/>
          <w:sz w:val="30"/>
          <w:szCs w:val="30"/>
        </w:rPr>
        <w:t xml:space="preserve">“Todo relógio mede o tempo. O nosso o torna visível como forma.”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Pilares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Precisão como valor moral — a exatidão do mecanismo é tratada como princípio, não como spec técnica.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Redução deliberada — mostradores sem índices, ausência de ornamento. O que sobra carrega mais peso.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Mecanismo à vista — o movimento é a beleza. Fundos em safira e tourbillons expostos, nunca escondidos.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Frieza editorial — a marca fala em tom de galeria de arte, não de joalheria de shopping.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02 — IDENTIDADE VERBAL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Nome &amp; Voz</w:t>
      </w:r>
    </w:p>
    <w:p>
      <w:pPr>
        <w:pBdr>
          <w:bottom w:val="single" w:color="D8D5CE" w:sz="6" w:space="1"/>
        </w:pBdr>
        <w:spacing w:after="240" w:before="120"/>
      </w:pP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O nome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16171A"/>
          <w:sz w:val="21"/>
          <w:szCs w:val="21"/>
        </w:rPr>
        <w:t xml:space="preserve">CRONOS</w:t>
      </w:r>
      <w:r>
        <w:rPr>
          <w:rFonts w:ascii="Inter" w:cs="Inter" w:eastAsia="Inter" w:hAnsi="Inter"/>
          <w:color w:val="16171A"/>
          <w:sz w:val="21"/>
          <w:szCs w:val="21"/>
        </w:rPr>
        <w:t xml:space="preserve"> remete a Chronos, a personificação do tempo na mitologia grega. Grafado sem o “h”, ganha uma forma mais limpa e contemporânea, evitando o clichê acadêmico. Sempre em caixa alta no logotipo, com espaçamento amplo entre letras — o nome respira como o mostrador respira.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Assinaturas alternativas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O tempo, esculpido.  (principal — PT)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Time, sculpted.  (internacional — EN)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Mede-se em séculos.  (para peças de edição limitada)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Tom de voz</w:t>
      </w: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Contido, preciso, sem adjetivos vazios. A copy descreve materiais e mecanismos com a mesma exatidão de uma ficha de engenharia, e deixa o silêncio fazer o trabalho emocional. Nunca usa “exclusivo”, “sofisticado” ou “atemporal” — palavras que toda marca de luxo já gastou. Prefere o concreto: “aço 904L”, “72 horas de reserva”, “27 rubis”.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16171A"/>
          <w:sz w:val="21"/>
          <w:szCs w:val="21"/>
        </w:rPr>
        <w:t xml:space="preserve">Faça: </w:t>
      </w:r>
      <w:r>
        <w:rPr>
          <w:rFonts w:ascii="Inter" w:cs="Inter" w:eastAsia="Inter" w:hAnsi="Inter"/>
          <w:i/>
          <w:iCs/>
          <w:color w:val="4A4E54"/>
          <w:sz w:val="21"/>
          <w:szCs w:val="21"/>
        </w:rPr>
        <w:t xml:space="preserve">“Calibre CRN-8. Montado à mão em duas semanas. 72 horas de autonomia.”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16171A"/>
          <w:sz w:val="21"/>
          <w:szCs w:val="21"/>
        </w:rPr>
        <w:t xml:space="preserve">Evite: </w:t>
      </w:r>
      <w:r>
        <w:rPr>
          <w:rFonts w:ascii="Inter" w:cs="Inter" w:eastAsia="Inter" w:hAnsi="Inter"/>
          <w:i/>
          <w:iCs/>
          <w:color w:val="8A8D91"/>
          <w:sz w:val="21"/>
          <w:szCs w:val="21"/>
        </w:rPr>
        <w:t xml:space="preserve">“Uma experiência exclusiva de luxo atemporal para o homem sofisticado.”</w:t>
      </w:r>
    </w:p>
    <w:p>
      <w:r>
        <w:br w:type="page"/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03 — SISTEMA VISUAL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Paleta</w:t>
      </w:r>
    </w:p>
    <w:p>
      <w:pPr>
        <w:pBdr>
          <w:bottom w:val="single" w:color="D8D5CE" w:sz="6" w:space="1"/>
        </w:pBdr>
        <w:spacing w:after="240" w:before="120"/>
      </w:pP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A paleta é inteiramente fria e dessaturada. Nenhum ouro, nenhum tom quente. A base é um off-white ósseo; o contraste vem do grafite profundo; o único acento é um metálico de aço escovado. A restrição é a decisão de marca mais importante — é ela que separa CRONOS de qualquer joalheria convencional.</w:t>
      </w:r>
    </w:p>
    <w:tbl>
      <w:tblPr>
        <w:tblW w:type="dxa" w:w="8400"/>
        <w:tblBorders>
          <w:top w:val="none"/>
          <w:left w:val="none"/>
          <w:bottom w:val="none"/>
          <w:right w:val="none"/>
          <w:insideH w:val="single" w:color="E4E1DA" w:sz="2"/>
          <w:insideV w:val="none"/>
        </w:tblBorders>
      </w:tblPr>
      <w:tblGrid>
        <w:gridCol w:w="900"/>
        <w:gridCol w:w="2100"/>
        <w:gridCol w:w="5400"/>
      </w:tblGrid>
      <w:tr>
        <w:tc>
          <w:tcPr>
            <w:tcW w:type="dxa" w:w="900"/>
            <w:shd w:fill="F2F0E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6171A"/>
                <w:sz w:val="20"/>
                <w:szCs w:val="20"/>
              </w:rPr>
              <w:t xml:space="preserve">Bone</w:t>
            </w:r>
          </w:p>
          <w:p>
            <w:r>
              <w:rPr>
                <w:rFonts w:ascii="JetBrains Mono" w:cs="JetBrains Mono" w:eastAsia="JetBrains Mono" w:hAnsi="JetBrains Mono"/>
                <w:color w:val="8A8D91"/>
                <w:sz w:val="17"/>
                <w:szCs w:val="17"/>
              </w:rPr>
              <w:t xml:space="preserve">#F2F0EB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color w:val="4A4E54"/>
                <w:sz w:val="20"/>
                <w:szCs w:val="20"/>
              </w:rPr>
              <w:t xml:space="preserve">Fundo principal. Papelaria, hero do site, base editorial.</w:t>
            </w:r>
          </w:p>
        </w:tc>
      </w:tr>
      <w:tr>
        <w:tc>
          <w:tcPr>
            <w:tcW w:type="dxa" w:w="900"/>
            <w:shd w:fill="E4E1D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6171A"/>
                <w:sz w:val="20"/>
                <w:szCs w:val="20"/>
              </w:rPr>
              <w:t xml:space="preserve">Fog</w:t>
            </w:r>
          </w:p>
          <w:p>
            <w:r>
              <w:rPr>
                <w:rFonts w:ascii="JetBrains Mono" w:cs="JetBrains Mono" w:eastAsia="JetBrains Mono" w:hAnsi="JetBrains Mono"/>
                <w:color w:val="8A8D91"/>
                <w:sz w:val="17"/>
                <w:szCs w:val="17"/>
              </w:rPr>
              <w:t xml:space="preserve">#E4E1DA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color w:val="4A4E54"/>
                <w:sz w:val="20"/>
                <w:szCs w:val="20"/>
              </w:rPr>
              <w:t xml:space="preserve">Superfícies secundárias, cards, separação sutil de blocos.</w:t>
            </w:r>
          </w:p>
        </w:tc>
      </w:tr>
      <w:tr>
        <w:tc>
          <w:tcPr>
            <w:tcW w:type="dxa" w:w="900"/>
            <w:shd w:fill="B8BCC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6171A"/>
                <w:sz w:val="20"/>
                <w:szCs w:val="20"/>
              </w:rPr>
              <w:t xml:space="preserve">Brushed</w:t>
            </w:r>
          </w:p>
          <w:p>
            <w:r>
              <w:rPr>
                <w:rFonts w:ascii="JetBrains Mono" w:cs="JetBrains Mono" w:eastAsia="JetBrains Mono" w:hAnsi="JetBrains Mono"/>
                <w:color w:val="8A8D91"/>
                <w:sz w:val="17"/>
                <w:szCs w:val="17"/>
              </w:rPr>
              <w:t xml:space="preserve">#B8BCC0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color w:val="4A4E54"/>
                <w:sz w:val="20"/>
                <w:szCs w:val="20"/>
              </w:rPr>
              <w:t xml:space="preserve">Acento metálico único. Ponteiro dos segundos, detalhes, hover.</w:t>
            </w:r>
          </w:p>
        </w:tc>
      </w:tr>
      <w:tr>
        <w:tc>
          <w:tcPr>
            <w:tcW w:type="dxa" w:w="900"/>
            <w:shd w:fill="8A8D9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6171A"/>
                <w:sz w:val="20"/>
                <w:szCs w:val="20"/>
              </w:rPr>
              <w:t xml:space="preserve">Steel</w:t>
            </w:r>
          </w:p>
          <w:p>
            <w:r>
              <w:rPr>
                <w:rFonts w:ascii="JetBrains Mono" w:cs="JetBrains Mono" w:eastAsia="JetBrains Mono" w:hAnsi="JetBrains Mono"/>
                <w:color w:val="8A8D91"/>
                <w:sz w:val="17"/>
                <w:szCs w:val="17"/>
              </w:rPr>
              <w:t xml:space="preserve">#8A8D91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color w:val="4A4E54"/>
                <w:sz w:val="20"/>
                <w:szCs w:val="20"/>
              </w:rPr>
              <w:t xml:space="preserve">Texto muted, legendas, dados técnicos, eyebrows.</w:t>
            </w:r>
          </w:p>
        </w:tc>
      </w:tr>
      <w:tr>
        <w:tc>
          <w:tcPr>
            <w:tcW w:type="dxa" w:w="900"/>
            <w:shd w:fill="4A4E5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6171A"/>
                <w:sz w:val="20"/>
                <w:szCs w:val="20"/>
              </w:rPr>
              <w:t xml:space="preserve">Slate</w:t>
            </w:r>
          </w:p>
          <w:p>
            <w:r>
              <w:rPr>
                <w:rFonts w:ascii="JetBrains Mono" w:cs="JetBrains Mono" w:eastAsia="JetBrains Mono" w:hAnsi="JetBrains Mono"/>
                <w:color w:val="8A8D91"/>
                <w:sz w:val="17"/>
                <w:szCs w:val="17"/>
              </w:rPr>
              <w:t xml:space="preserve">#4A4E54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color w:val="4A4E54"/>
                <w:sz w:val="20"/>
                <w:szCs w:val="20"/>
              </w:rPr>
              <w:t xml:space="preserve">Texto secundário, citações, subtítulos.</w:t>
            </w:r>
          </w:p>
        </w:tc>
      </w:tr>
      <w:tr>
        <w:tc>
          <w:tcPr>
            <w:tcW w:type="dxa" w:w="900"/>
            <w:shd w:fill="16171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6171A"/>
                <w:sz w:val="20"/>
                <w:szCs w:val="20"/>
              </w:rPr>
              <w:t xml:space="preserve">Graphite</w:t>
            </w:r>
          </w:p>
          <w:p>
            <w:r>
              <w:rPr>
                <w:rFonts w:ascii="JetBrains Mono" w:cs="JetBrains Mono" w:eastAsia="JetBrains Mono" w:hAnsi="JetBrains Mono"/>
                <w:color w:val="8A8D91"/>
                <w:sz w:val="17"/>
                <w:szCs w:val="17"/>
              </w:rPr>
              <w:t xml:space="preserve">#16171A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Inter" w:cs="Inter" w:eastAsia="Inter" w:hAnsi="Inter"/>
                <w:color w:val="4A4E54"/>
                <w:sz w:val="20"/>
                <w:szCs w:val="20"/>
              </w:rPr>
              <w:t xml:space="preserve">Texto principal e seções escuras invertidas.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Inter" w:cs="Inter" w:eastAsia="Inter" w:hAnsi="Inter"/>
          <w:b/>
          <w:bCs/>
          <w:color w:val="16171A"/>
          <w:sz w:val="21"/>
          <w:szCs w:val="21"/>
        </w:rPr>
        <w:t xml:space="preserve">Regra de ouro (sem ouro): </w:t>
      </w:r>
      <w:r>
        <w:rPr>
          <w:rFonts w:ascii="Inter" w:cs="Inter" w:eastAsia="Inter" w:hAnsi="Inter"/>
          <w:color w:val="16171A"/>
          <w:sz w:val="21"/>
          <w:szCs w:val="21"/>
        </w:rPr>
        <w:t xml:space="preserve">o Brushed nunca preenche áreas grandes. Ele aparece em fios de 1px, no ponteiro dos segundos e em micro-detalhes. Um acento que grita deixa de ser acento.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04 — SISTEMA VISUAL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Tipografia</w:t>
      </w:r>
    </w:p>
    <w:p>
      <w:pPr>
        <w:pBdr>
          <w:bottom w:val="single" w:color="D8D5CE" w:sz="6" w:space="1"/>
        </w:pBdr>
        <w:spacing w:after="240" w:before="120"/>
      </w:pP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Display — serifada de alto contraste</w:t>
      </w: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Para o logotipo e as headlines, uma serifada de contraste alto (referência premium: Canela ou Ogg; alternativa gratuita: Playfair Display). É o rosto emocional da marca — usada com muita restrição, sempre em tamanhos grandes e com espaçamento generoso. Nunca em blocos de texto corrido.</w:t>
      </w:r>
    </w:p>
    <w:p>
      <w:pPr>
        <w:spacing w:after="160"/>
      </w:pPr>
      <w:r>
        <w:rPr>
          <w:rFonts w:ascii="Playfair Display" w:cs="Playfair Display" w:eastAsia="Playfair Display" w:hAnsi="Playfair Display"/>
          <w:color w:val="16171A"/>
          <w:sz w:val="64"/>
          <w:szCs w:val="64"/>
        </w:rPr>
        <w:t xml:space="preserve">CRONOS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Corpo — grotesk neutra</w:t>
      </w: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Para o texto corrido, uma sans neutra e legível (Inter). Discreta por definição: seu trabalho é desaparecer e deixar o conteúdo e a serifada brilharem. Pesos regular e medium apenas.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Dados — monoespaçada</w:t>
      </w: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Especificações técnicas, referências e legendas usam uma monoespaçada (JetBrains Mono), tratadas como leitura de instrumento: </w:t>
      </w:r>
      <w:r>
        <w:rPr>
          <w:rFonts w:ascii="JetBrains Mono" w:cs="JetBrains Mono" w:eastAsia="JetBrains Mono" w:hAnsi="JetBrains Mono"/>
          <w:color w:val="4A4E54"/>
          <w:sz w:val="18"/>
          <w:szCs w:val="18"/>
        </w:rPr>
        <w:t xml:space="preserve">CR-03 · CALIBRE CRN-12 · 96H</w:t>
      </w:r>
      <w:r>
        <w:rPr>
          <w:rFonts w:ascii="Inter" w:cs="Inter" w:eastAsia="Inter" w:hAnsi="Inter"/>
          <w:color w:val="16171A"/>
          <w:sz w:val="21"/>
          <w:szCs w:val="21"/>
        </w:rPr>
        <w:t xml:space="preserve">. É esse detalhe que empresta à marca a credibilidade de engenharia.</w:t>
      </w:r>
    </w:p>
    <w:p>
      <w:r>
        <w:br w:type="page"/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05 — ELEMENTO ASSINATURA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O Ponteiro dos Segundos</w:t>
      </w:r>
    </w:p>
    <w:p>
      <w:pPr>
        <w:pBdr>
          <w:bottom w:val="single" w:color="D8D5CE" w:sz="6" w:space="1"/>
        </w:pBdr>
        <w:spacing w:after="240" w:before="120"/>
      </w:pP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O elemento memorável da marca é o movimento do ponteiro dos segundos — o único item que se move de verdade em toda a identidade. No site, um relógio analógico em SVG com o ponteiro avançando em tempo real ancora o hero. Em transições, elementos “tickam” em vez de deslizar suavemente, imitando o batimento do escape. É a única fonte de calor num sistema propositalmente frio.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Onde aparece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Hero do site: relógio vivo, ponteiro dos segundos em Brushed, avançando a cada segundo.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Micro-interações: hover e reveals com timing de “tick” (curva com leve overshoot), não easing suave.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Página de produto: “anatomia” do relógio — vista explodida dos componentes, tratada como diagrama técnico.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Papelaria: um único fio Brushed a 1px atravessando a peça, como o ponteiro em repouso.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06 — COLEÇÕES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O Catálogo</w:t>
      </w:r>
    </w:p>
    <w:p>
      <w:pPr>
        <w:pBdr>
          <w:bottom w:val="single" w:color="D8D5CE" w:sz="6" w:space="1"/>
        </w:pBdr>
        <w:spacing w:after="240" w:before="120"/>
      </w:pP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Duas linhas ancoram a marca. Monólito reúne as peças de entrada no alto luxo — automáticas, sóbrias, escultóricas. Eclipse é o topo: complicações visíveis e edições numeradas. Toda referência segue o padrão CR-00 seguido de um nome de material ou mineral.</w:t>
      </w:r>
    </w:p>
    <w:p>
      <w:pPr>
        <w:spacing w:after="20" w:before="260"/>
      </w:pPr>
      <w:r>
        <w:rPr>
          <w:rFonts w:ascii="Playfair Display" w:cs="Playfair Display" w:eastAsia="Playfair Display" w:hAnsi="Playfair Display"/>
          <w:color w:val="16171A"/>
          <w:sz w:val="30"/>
          <w:szCs w:val="30"/>
        </w:rPr>
        <w:t xml:space="preserve">CR-01 · Ardósia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8A8D91"/>
          <w:spacing w:val="30"/>
          <w:sz w:val="16"/>
          <w:szCs w:val="16"/>
        </w:rPr>
        <w:t xml:space="preserve">COLEÇÃO MONÓLITO   ·   </w:t>
      </w:r>
      <w:r>
        <w:rPr>
          <w:rFonts w:ascii="JetBrains Mono" w:cs="JetBrains Mono" w:eastAsia="JetBrains Mono" w:hAnsi="JetBrains Mono"/>
          <w:color w:val="4A4E54"/>
          <w:sz w:val="16"/>
          <w:szCs w:val="16"/>
        </w:rPr>
        <w:t xml:space="preserve">R$ 42.800</w:t>
      </w:r>
    </w:p>
    <w:tbl>
      <w:tblPr>
        <w:tblW w:type="dxa" w:w="8400"/>
        <w:tblBorders>
          <w:top w:val="none"/>
          <w:left w:val="none"/>
          <w:bottom w:val="none"/>
          <w:right w:val="none"/>
          <w:insideH w:val="single" w:color="E4E1DA" w:sz="2"/>
          <w:insideV w:val="none"/>
        </w:tblBorders>
      </w:tblPr>
      <w:tblGrid>
        <w:gridCol w:w="2600"/>
        <w:gridCol w:w="5800"/>
      </w:tblGrid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CALIBRE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CRN-8 automático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RESERVA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72 horas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RUBIS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CAIXA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Aço 904L · 39 mm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NOTA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Mostrador em ardósia lavada à mão, sem índices — o tempo lido pela geometria da luz.</w:t>
            </w:r>
          </w:p>
        </w:tc>
      </w:tr>
    </w:tbl>
    <w:p>
      <w:pPr>
        <w:spacing w:after="20" w:before="260"/>
      </w:pPr>
      <w:r>
        <w:rPr>
          <w:rFonts w:ascii="Playfair Display" w:cs="Playfair Display" w:eastAsia="Playfair Display" w:hAnsi="Playfair Display"/>
          <w:color w:val="16171A"/>
          <w:sz w:val="30"/>
          <w:szCs w:val="30"/>
        </w:rPr>
        <w:t xml:space="preserve">CR-02 · Névoa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8A8D91"/>
          <w:spacing w:val="30"/>
          <w:sz w:val="16"/>
          <w:szCs w:val="16"/>
        </w:rPr>
        <w:t xml:space="preserve">COLEÇÃO MONÓLITO   ·   </w:t>
      </w:r>
      <w:r>
        <w:rPr>
          <w:rFonts w:ascii="JetBrains Mono" w:cs="JetBrains Mono" w:eastAsia="JetBrains Mono" w:hAnsi="JetBrains Mono"/>
          <w:color w:val="4A4E54"/>
          <w:sz w:val="16"/>
          <w:szCs w:val="16"/>
        </w:rPr>
        <w:t xml:space="preserve">R$ 51.200</w:t>
      </w:r>
    </w:p>
    <w:tbl>
      <w:tblPr>
        <w:tblW w:type="dxa" w:w="8400"/>
        <w:tblBorders>
          <w:top w:val="none"/>
          <w:left w:val="none"/>
          <w:bottom w:val="none"/>
          <w:right w:val="none"/>
          <w:insideH w:val="single" w:color="E4E1DA" w:sz="2"/>
          <w:insideV w:val="none"/>
        </w:tblBorders>
      </w:tblPr>
      <w:tblGrid>
        <w:gridCol w:w="2600"/>
        <w:gridCol w:w="5800"/>
      </w:tblGrid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CALIBRE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CRN-8 automático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RESERVA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72 horas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RUBIS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CAIXA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Titânio grau 5 · 40 mm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NOTA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Acabamento jateado que dispersa o reflexo. Peso pluma, presença de pedra.</w:t>
            </w:r>
          </w:p>
        </w:tc>
      </w:tr>
    </w:tbl>
    <w:p>
      <w:pPr>
        <w:spacing w:after="20" w:before="260"/>
      </w:pPr>
      <w:r>
        <w:rPr>
          <w:rFonts w:ascii="Playfair Display" w:cs="Playfair Display" w:eastAsia="Playfair Display" w:hAnsi="Playfair Display"/>
          <w:color w:val="16171A"/>
          <w:sz w:val="30"/>
          <w:szCs w:val="30"/>
        </w:rPr>
        <w:t xml:space="preserve">CR-03 · Obsidiana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8A8D91"/>
          <w:spacing w:val="30"/>
          <w:sz w:val="16"/>
          <w:szCs w:val="16"/>
        </w:rPr>
        <w:t xml:space="preserve">COLEÇÃO ECLIPSE   ·   </w:t>
      </w:r>
      <w:r>
        <w:rPr>
          <w:rFonts w:ascii="JetBrains Mono" w:cs="JetBrains Mono" w:eastAsia="JetBrains Mono" w:hAnsi="JetBrains Mono"/>
          <w:color w:val="4A4E54"/>
          <w:sz w:val="16"/>
          <w:szCs w:val="16"/>
        </w:rPr>
        <w:t xml:space="preserve">R$ 68.500</w:t>
      </w:r>
    </w:p>
    <w:tbl>
      <w:tblPr>
        <w:tblW w:type="dxa" w:w="8400"/>
        <w:tblBorders>
          <w:top w:val="none"/>
          <w:left w:val="none"/>
          <w:bottom w:val="none"/>
          <w:right w:val="none"/>
          <w:insideH w:val="single" w:color="E4E1DA" w:sz="2"/>
          <w:insideV w:val="none"/>
        </w:tblBorders>
      </w:tblPr>
      <w:tblGrid>
        <w:gridCol w:w="2600"/>
        <w:gridCol w:w="5800"/>
      </w:tblGrid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CALIBRE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CRN-12 tourbillon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RESERVA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96 horas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RUBIS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CAIXA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Cerâmica preta · 41 mm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NOTA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Tourbillon visível às 6h. A escultura do mecanismo exposta como se deve.</w:t>
            </w:r>
          </w:p>
        </w:tc>
      </w:tr>
    </w:tbl>
    <w:p>
      <w:pPr>
        <w:spacing w:after="20" w:before="260"/>
      </w:pPr>
      <w:r>
        <w:rPr>
          <w:rFonts w:ascii="Playfair Display" w:cs="Playfair Display" w:eastAsia="Playfair Display" w:hAnsi="Playfair Display"/>
          <w:color w:val="16171A"/>
          <w:sz w:val="30"/>
          <w:szCs w:val="30"/>
        </w:rPr>
        <w:t xml:space="preserve">CR-04 · Salitre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8A8D91"/>
          <w:spacing w:val="30"/>
          <w:sz w:val="16"/>
          <w:szCs w:val="16"/>
        </w:rPr>
        <w:t xml:space="preserve">COLEÇÃO ECLIPSE   ·   </w:t>
      </w:r>
      <w:r>
        <w:rPr>
          <w:rFonts w:ascii="JetBrains Mono" w:cs="JetBrains Mono" w:eastAsia="JetBrains Mono" w:hAnsi="JetBrains Mono"/>
          <w:color w:val="4A4E54"/>
          <w:sz w:val="16"/>
          <w:szCs w:val="16"/>
        </w:rPr>
        <w:t xml:space="preserve">R$ 74.900</w:t>
      </w:r>
    </w:p>
    <w:tbl>
      <w:tblPr>
        <w:tblW w:type="dxa" w:w="8400"/>
        <w:tblBorders>
          <w:top w:val="none"/>
          <w:left w:val="none"/>
          <w:bottom w:val="none"/>
          <w:right w:val="none"/>
          <w:insideH w:val="single" w:color="E4E1DA" w:sz="2"/>
          <w:insideV w:val="none"/>
        </w:tblBorders>
      </w:tblPr>
      <w:tblGrid>
        <w:gridCol w:w="2600"/>
        <w:gridCol w:w="5800"/>
      </w:tblGrid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CALIBRE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CRN-12 tourbillon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RESERVA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96 horas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RUBIS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CAIXA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Platina 950 · 41 mm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NOTA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Edição de 40 peças. Ponte do tourbillon polida em espelho, numerada à mão.</w:t>
            </w:r>
          </w:p>
        </w:tc>
      </w:tr>
    </w:tbl>
    <w:p>
      <w:r>
        <w:br w:type="page"/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07 — APLICAÇÃO DIGITAL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Arquitetura do Site</w:t>
      </w:r>
    </w:p>
    <w:p>
      <w:pPr>
        <w:pBdr>
          <w:bottom w:val="single" w:color="D8D5CE" w:sz="6" w:space="1"/>
        </w:pBdr>
        <w:spacing w:after="240" w:before="120"/>
      </w:pPr>
    </w:p>
    <w:p>
      <w:pPr>
        <w:spacing w:after="140" w:line="300"/>
      </w:pPr>
      <w:r>
        <w:rPr>
          <w:rFonts w:ascii="Inter" w:cs="Inter" w:eastAsia="Inter" w:hAnsi="Inter"/>
          <w:b/>
          <w:bCs/>
          <w:color w:val="16171A"/>
          <w:sz w:val="21"/>
          <w:szCs w:val="21"/>
        </w:rPr>
        <w:t xml:space="preserve">Stack: </w:t>
      </w:r>
      <w:r>
        <w:rPr>
          <w:rFonts w:ascii="Inter" w:cs="Inter" w:eastAsia="Inter" w:hAnsi="Inter"/>
          <w:color w:val="16171A"/>
          <w:sz w:val="21"/>
          <w:szCs w:val="21"/>
        </w:rPr>
        <w:t xml:space="preserve">Next.js 15 · Tailwind · GSAP. Site de vendas one-brand com foco em direção de arte editorial. O e-commerce é secundário à experiência — poucas peças, cada uma tratada como página de galeria.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Estrutura de páginas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Hero — relógio vivo em SVG, ponteiro dos segundos real, parallax sutil e o manifesto em serifada grande.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Coleções — grid editorial (não catálogo genérico), Monólito e Eclipse separados por respiro amplo.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Produto — zoom macro, ficha técnica em mono, e a vista “anatomia” explodindo os componentes no scroll.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Manifesto — seção de storytelling da marca, texto contido sobre fundo Bone, sem imagens de apoio.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Contato / Reserva — fluxo discreto, sem carrinho barulhento. “Reservar peça”, não “Comprar agora”.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Movimento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Page-load: sequência orquestrada — o relógio “dá corda” ao carregar (ponteiros varrem até a posição).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Scroll: reveals com timing de tick, respeitando prefers-reduced-motion.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Hover: apenas o acento Brushed reage. Todo o resto permanece imóvel e disciplinado.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Vista Anatomia — o momento assinatura</w:t>
      </w:r>
    </w:p>
    <w:p>
      <w:pPr>
        <w:spacing w:after="140" w:line="300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Na página de produto, ao rolar, o relógio se decompõe verticalmente em suas camadas — bisel, cristal de safira, mostrador, movimento, rotor e fundo — cada uma anotada com uma legenda mono à direita, ligada por um fio Brushed de 1px. É o instante que traduz “o tempo, esculpido” em interação.</w:t>
      </w:r>
    </w:p>
    <w:tbl>
      <w:tblPr>
        <w:tblW w:type="dxa" w:w="8400"/>
        <w:tblBorders>
          <w:top w:val="none"/>
          <w:left w:val="none"/>
          <w:bottom w:val="none"/>
          <w:right w:val="none"/>
          <w:insideH w:val="single" w:color="E4E1DA" w:sz="2"/>
          <w:insideV w:val="none"/>
        </w:tblBorders>
      </w:tblPr>
      <w:tblGrid>
        <w:gridCol w:w="2600"/>
        <w:gridCol w:w="5800"/>
      </w:tblGrid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BISEL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Aço 904L usinado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CRISTAL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Safira dupla antirreflexo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MOSTRADOR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Latão galvanizado, sem índice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MOVIMENTO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Calibre CRN, montado à mão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ROTOR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Ouro 22k, esqueletizado</w:t>
            </w:r>
          </w:p>
        </w:tc>
      </w:tr>
      <w:tr>
        <w:tc>
          <w:tcPr>
            <w:tcW w:type="dxa" w:w="26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8A8D91"/>
                <w:spacing w:val="30"/>
                <w:sz w:val="16"/>
                <w:szCs w:val="16"/>
              </w:rPr>
              <w:t xml:space="preserve">FUNDO</w:t>
            </w:r>
          </w:p>
        </w:tc>
        <w:tc>
          <w:tcPr>
            <w:tcW w:type="dxa" w:w="5800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71A"/>
                <w:sz w:val="20"/>
                <w:szCs w:val="20"/>
              </w:rPr>
              <w:t xml:space="preserve">Vidro safira, gravado a laser</w:t>
            </w:r>
          </w:p>
        </w:tc>
      </w:tr>
    </w:tbl>
    <w:p>
      <w:pPr>
        <w:spacing w:after="60" w:before="320"/>
      </w:pPr>
      <w:r>
        <w:rPr>
          <w:rFonts w:ascii="JetBrains Mono" w:cs="JetBrains Mono" w:eastAsia="JetBrains Mono" w:hAnsi="JetBrains Mono"/>
          <w:color w:val="8A8D91"/>
          <w:spacing w:val="60"/>
          <w:sz w:val="15"/>
          <w:szCs w:val="15"/>
        </w:rPr>
        <w:t xml:space="preserve">08 — GUARDA-CORPO</w:t>
      </w:r>
    </w:p>
    <w:p>
      <w:pPr>
        <w:pStyle w:val="Heading1"/>
        <w:spacing w:after="120" w:before="120"/>
      </w:pPr>
      <w:r>
        <w:rPr>
          <w:rFonts w:ascii="Playfair Display" w:cs="Playfair Display" w:eastAsia="Playfair Display" w:hAnsi="Playfair Display"/>
          <w:color w:val="16171A"/>
          <w:sz w:val="52"/>
          <w:szCs w:val="52"/>
        </w:rPr>
        <w:t xml:space="preserve">Regras de Uso</w:t>
      </w:r>
    </w:p>
    <w:p>
      <w:pPr>
        <w:pBdr>
          <w:bottom w:val="single" w:color="D8D5CE" w:sz="6" w:space="1"/>
        </w:pBdr>
        <w:spacing w:after="240" w:before="120"/>
      </w:pP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Faça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Deixe espaço em branco fazer o trabalho. O luxo aqui é o respiro, não o preenchimento.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Trate especificações como poesia técnica — números concretos vendem mais que adjetivos.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Mantenha o Brushed em micro-doses; um fio de 1px vale mais que um bloco inteiro.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Fotografe cada peça como escultura: fundo neutro, sombra dura, macro do mecanismo.</w:t>
      </w:r>
    </w:p>
    <w:p>
      <w:pPr>
        <w:pStyle w:val="Heading3"/>
        <w:spacing w:after="80" w:before="220"/>
      </w:pPr>
      <w:r>
        <w:rPr>
          <w:rFonts w:ascii="Inter" w:cs="Inter" w:eastAsia="Inter" w:hAnsi="Inter"/>
          <w:b/>
          <w:bCs/>
          <w:color w:val="4A4E54"/>
          <w:sz w:val="22"/>
          <w:szCs w:val="22"/>
        </w:rPr>
        <w:t xml:space="preserve">Não faça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Nenhum tom quente ou dourado — quebra o posicionamento inteiro.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Nada de serifada em texto corrido, nem de sans em headline. Cada fonte tem seu papel.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Sem “Comprar agora”, contadores de estoque ou selos de desconto — isso é linguagem de varejo, não de galeria.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Inter" w:cs="Inter" w:eastAsia="Inter" w:hAnsi="Inter"/>
          <w:color w:val="16171A"/>
          <w:sz w:val="21"/>
          <w:szCs w:val="21"/>
        </w:rPr>
        <w:t xml:space="preserve">Evite adjetivos de luxo genérico (“exclusivo”, “atemporal”, “sofisticado”).</w:t>
      </w:r>
    </w:p>
    <w:p>
      <w:pPr>
        <w:spacing w:before="500"/>
      </w:pPr>
    </w:p>
    <w:p>
      <w:pPr>
        <w:pBdr>
          <w:bottom w:val="single" w:color="D8D5CE" w:sz="6" w:space="1"/>
        </w:pBdr>
        <w:spacing w:after="240" w:before="120"/>
      </w:pPr>
    </w:p>
    <w:p>
      <w:pPr>
        <w:jc w:val="center"/>
      </w:pPr>
      <w:r>
        <w:rPr>
          <w:rFonts w:ascii="JetBrains Mono" w:cs="JetBrains Mono" w:eastAsia="JetBrains Mono" w:hAnsi="JetBrains Mono"/>
          <w:color w:val="8A8D91"/>
          <w:spacing w:val="80"/>
          <w:sz w:val="15"/>
          <w:szCs w:val="15"/>
        </w:rPr>
        <w:t xml:space="preserve">CRONOS  ·  O TEMPO, ESCULPIDO</w:t>
      </w:r>
    </w:p>
    <w:sectPr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617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CRONOS — Manual de Marca</dc:title>
  <dc:creator>Kyberno Atelier</dc:creator>
  <cp:lastModifiedBy>Un-named</cp:lastModifiedBy>
  <cp:revision>1</cp:revision>
  <dcterms:created xsi:type="dcterms:W3CDTF">2026-07-14T00:19:47.904Z</dcterms:created>
  <dcterms:modified xsi:type="dcterms:W3CDTF">2026-07-14T00:19:47.905Z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