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TEST</w:t>
      </w:r>
      <w:proofErr w:type="spellStart"/>
      <w:proofErr w:type="gramStart"/>
      <w:r>
        <w:rPr>
          <w:shd w:val="clear" w:color="auto" w:fill="FFFFFF"/>
        </w:rPr>
        <w:t/>
      </w:r>
      <w:r w:rsidR="008719EE">
        <w:rPr>
          <w:shd w:val="clear" w:color="auto" w:fill="FFFFFF"/>
        </w:rPr>
        <w:t/>
      </w:r>
      <w:proofErr w:type="spellEnd"/>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Test company</w:t>
      </w:r>
      <w:r w:rsidR="00D464F4">
        <w:rPr>
          <w:b/>
          <w:bCs/>
          <w:shd w:val="clear" w:color="auto" w:fill="FFFFFF"/>
        </w:rPr>
        <w:t xml:space="preserve"> </w:t>
      </w:r>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THIS CERTIFIES THAT 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sidR="008719EE">
        <w:rPr>
          <w:shd w:val="clear" w:color="auto" w:fill="FFFFFF"/>
        </w:rPr>
        <w:t xml:space="preserve">undefined</w:t>
      </w:r>
      <w:proofErr w:type="spellStart"/>
      <w:r w:rsidR="008719EE">
        <w:rPr>
          <w:shd w:val="clear" w:color="auto" w:fill="FFFFFF"/>
        </w:rPr>
        <w:t/>
      </w:r>
      <w:proofErr w:type="spellEnd"/>
      <w:r w:rsidR="008719EE">
        <w:rPr>
          <w:shd w:val="clear" w:color="auto" w:fill="FFFFFF"/>
        </w:rPr>
        <w:t xml:space="preserve">]</w:t>
      </w:r>
      <w:r>
        <w:rPr>
          <w:shd w:val="clear" w:color="auto" w:fill="FFFFFF"/>
        </w:rPr>
        <w:t xml:space="preserve"> (the “</w:t>
      </w:r>
      <w:r>
        <w:rPr>
          <w:b/>
          <w:bCs/>
          <w:i/>
          <w:iCs/>
          <w:shd w:val="clear" w:color="auto" w:fill="FFFFFF"/>
        </w:rPr>
        <w:t>Purchase Amount</w:t>
      </w:r>
      <w:r>
        <w:rPr>
          <w:shd w:val="clear" w:color="auto" w:fill="FFFFFF"/>
        </w:rPr>
        <w:t xml:space="preserve">”) on </w:t>
      </w:r>
      <w:proofErr w:type="gramStart"/>
      <w:r>
        <w:rPr>
          <w:shd w:val="clear" w:color="auto" w:fill="FFFFFF"/>
        </w:rPr>
        <w:t xml:space="preserve">or </w:t>
      </w:r>
      <w:r>
        <w:rPr>
          <w:spacing w:val="-1"/>
          <w:shd w:val="clear" w:color="auto" w:fill="FFFFFF"/>
        </w:rPr>
        <w:t xml:space="preserve"> </w:t>
      </w:r>
      <w:r>
        <w:rPr>
          <w:shd w:val="clear" w:color="auto" w:fill="FFFFFF"/>
        </w:rPr>
        <w:t>about</w:t>
      </w:r>
      <w:proofErr w:type="gramEnd"/>
      <w:r>
        <w:rPr>
          <w:spacing w:val="-1"/>
          <w:shd w:val="clear" w:color="auto" w:fill="FFFFFF"/>
        </w:rPr>
        <w:t xml:space="preserve"> </w:t>
      </w:r>
      <w:r>
        <w:rPr>
          <w:shd w:val="clear" w:color="auto" w:fill="FFFFFF"/>
        </w:rPr>
        <w:t>[</w:t>
      </w:r>
      <w:r w:rsidR="008719EE">
        <w:rPr>
          <w:shd w:val="clear" w:color="auto" w:fill="FFFFFF"/>
        </w:rPr>
        <w:t xml:space="preserve">undefined]</w:t>
      </w:r>
      <w:r>
        <w:rPr>
          <w:shd w:val="clear" w:color="auto" w:fill="FFFFFF"/>
        </w:rPr>
        <w:t>,</w:t>
      </w:r>
      <w:r w:rsidR="008719EE">
        <w:rPr>
          <w:shd w:val="clear" w:color="auto" w:fill="FFFFFF"/>
        </w:rPr>
        <w:t xml:space="preserve"> Test</w:t>
      </w:r>
      <w:r w:rsidR="00F33EBB">
        <w:rPr>
          <w:shd w:val="clear" w:color="auto" w:fill="FFFFFF"/>
        </w:rPr>
        <w:t/>
      </w:r>
      <w:r w:rsidR="008719EE">
        <w:rPr>
          <w:shd w:val="clear" w:color="auto" w:fill="FFFFFF"/>
        </w:rPr>
        <w:t/>
      </w:r>
      <w:r>
        <w:rPr>
          <w:shd w:val="clear" w:color="auto" w:fill="FFFFFF"/>
        </w:rPr>
        <w:t xml:space="preserve">, an </w:t>
      </w:r>
      <w:r w:rsidR="008719EE">
        <w:rPr>
          <w:shd w:val="clear" w:color="auto" w:fill="FFFFFF"/>
        </w:rPr>
        <w:t xml:space="preserve">Test company</w:t>
      </w:r>
      <w:r>
        <w:rPr>
          <w:shd w:val="clear" w:color="auto" w:fill="FFFFFF"/>
        </w:rPr>
        <w:t xml:space="preserve">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to certain units of WFD Token (the “</w:t>
      </w:r>
      <w:r>
        <w:rPr>
          <w:b/>
          <w:bCs/>
          <w:i/>
          <w:iCs/>
          <w:shd w:val="clear" w:color="auto" w:fill="FFFFFF"/>
        </w:rPr>
        <w:t>Token</w:t>
      </w:r>
      <w:r>
        <w:rPr>
          <w:shd w:val="clear" w:color="auto" w:fill="FFFFFF"/>
        </w:rPr>
        <w:t>” or “</w:t>
      </w:r>
      <w:r w:rsidR="008719EE">
        <w:rPr>
          <w:b/>
          <w:bCs/>
          <w:i/>
          <w:iCs/>
          <w:shd w:val="clear" w:color="auto" w:fill="FFFFFF"/>
        </w:rPr>
        <w:t xml:space="preserve">TEST</w:t>
      </w:r>
      <w:proofErr w:type="spellStart"/>
      <w:r w:rsidR="008719EE">
        <w:rPr>
          <w:b/>
          <w:bCs/>
          <w:i/>
          <w:iCs/>
          <w:shd w:val="clear" w:color="auto" w:fill="FFFFFF"/>
        </w:rPr>
        <w:t/>
      </w:r>
      <w:proofErr w:type="spellEnd"/>
      <w:r w:rsidR="008719EE">
        <w:rPr>
          <w:b/>
          <w:bCs/>
          <w:i/>
          <w:iCs/>
          <w:shd w:val="clear" w:color="auto" w:fill="FFFFFF"/>
        </w:rPr>
        <w:t/>
      </w:r>
      <w:r>
        <w:rPr>
          <w:b/>
          <w:bCs/>
          <w:i/>
          <w:iCs/>
          <w:shd w:val="clear" w:color="auto" w:fill="FFFFFF"/>
        </w:rPr>
        <w:t xml:space="preserve"> Token</w:t>
      </w:r>
      <w:r>
        <w:rPr>
          <w:shd w:val="clear" w:color="auto" w:fill="FFFFFF"/>
        </w:rPr>
        <w:t>”), subject to the terms set forth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If there is a Network Launch before the expiration or termination of this instrument, the Company will automatically issue to the Purchaser a number of units of the Token equal to the Purchase Amount divided by the Discount 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The Purchaser will execute and deliver to the Company any and all other transaction documents related to this SAFT, including verification of accredited investor status or non-U.S. person status under the applicable securities laws; and</w:t>
      </w:r>
    </w:p>
    <w:p w:rsidR="00BC2EE8" w:rsidRDefault="00D464F4">
      <w:pPr>
        <w:pStyle w:val="ListParagraph"/>
        <w:numPr>
          <w:ilvl w:val="1"/>
          <w:numId w:val="5"/>
        </w:numPr>
        <w:ind w:right="116"/>
        <w:rPr>
          <w:shd w:val="clear" w:color="auto" w:fill="FFFFFF"/>
        </w:rPr>
      </w:pPr>
      <w:r>
        <w:rPr>
          <w:shd w:val="clear" w:color="auto" w:fill="FFFFFF"/>
        </w:rPr>
        <w:t>The Purchaser will provide to the Company a network address for which to allocate Purchaser's Tokens upon the Network 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concurrent with, the consummation of the Dissolution Event[, subject to the rights and preferences of the holders of the Company’s preferred stock, as set forth in the Company’s Certificate of Incorporation, as it may be amended from time to time.][1] If immediately prior to the consummation of the Dissolution Event, the assets of the Company that remain legally available, for distribution to the Purchaser and all holders of all other SAFTs (the “</w:t>
      </w:r>
      <w:r>
        <w:rPr>
          <w:b/>
          <w:bCs/>
          <w:i/>
          <w:iCs/>
          <w:shd w:val="clear" w:color="auto" w:fill="FFFFFF"/>
        </w:rPr>
        <w:t>Dissolving Purchasers</w:t>
      </w:r>
      <w:r>
        <w:rPr>
          <w:shd w:val="clear" w:color="auto" w:fill="FFFFFF"/>
        </w:rPr>
        <w:t>”), as determined in good faith by the Company’s board of directors, are insufficient to permit the payment to the Dissolving Purchasers of their respective Discounted Purchase Amounts, then the remaining assets of the Company legally available for distribution, following all distributions to the holders of the Company’s preferred stock, will be distributed with equal priority and pro rata among the Dissolving Purchasers in proportion to the Discounted Purchase Amounts they would otherwise be entitled to receive pursuant to this Section 1(b). Any distributed amounts shall be in U.S. 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the maximum price per Token sold by the Company to the public during the Network Launch multiplied by the Discount 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Seed” </w:t>
      </w:r>
      <w:r w:rsidR="008719EE">
        <w:rPr>
          <w:i/>
          <w:iCs/>
          <w:shd w:val="clear" w:color="auto" w:fill="FFFFFF"/>
        </w:rPr>
        <w:t xml:space="preserv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Pre-Sale”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 xml:space="preserve">Price Set at IDO” </w:t>
      </w:r>
      <w:r w:rsidR="008719EE" w:rsidRPr="008719EE">
        <w:rPr>
          <w:i/>
          <w:iCs/>
          <w:u w:val="single"/>
          <w:shd w:val="clear" w:color="auto" w:fill="FFFFFF"/>
        </w:rPr>
        <w:t xml:space="preserve">1</w:t>
      </w:r>
      <w:proofErr w:type="spellStart"/>
      <w:r w:rsidR="008719EE" w:rsidRPr="008719EE">
        <w:rPr>
          <w:i/>
          <w:iCs/>
          <w:u w:val="single"/>
          <w:shd w:val="clear" w:color="auto" w:fill="FFFFFF"/>
        </w:rPr>
        <w:t/>
      </w:r>
      <w:proofErr w:type="spellEnd"/>
      <w:r w:rsidR="008719EE" w:rsidRPr="008719EE">
        <w:rPr>
          <w:i/>
          <w:iCs/>
          <w:u w:val="single"/>
          <w:shd w:val="clear" w:color="auto" w:fill="FFFFFF"/>
        </w:rPr>
        <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a voluntary termination of operations of the Company, (ii) a general assignment for the benefit of the Company’s 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Tokens purchased by Purchasers, similar in form and content to this agreement, which a significant portion of the amount raised under the SAFTs will be used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sidR="008719EE">
        <w:rPr>
          <w:shd w:val="clear" w:color="auto" w:fill="FFFFFF"/>
        </w:rPr>
        <w:t/>
      </w:r>
      <w:r>
        <w:rPr>
          <w:shd w:val="clear" w:color="auto" w:fill="FFFFFF"/>
        </w:rPr>
        <w:t xml:space="preserve"> enables </w:t>
      </w:r>
      <w:r w:rsidR="008719EE">
        <w:rPr>
          <w:shd w:val="clear" w:color="auto" w:fill="FFFFFF"/>
        </w:rPr>
        <w:t xml:space="preserve">WeFund is a decentralized crowdfunding and incubation platform for blockchain and real-world projects.
</w:t>
      </w:r>
      <w:r>
        <w:br/>
      </w:r>
      <w:r>
        <w:rPr>
          <w:shd w:val="clear" w:color="auto" w:fill="FFFFFF"/>
        </w:rPr>
        <w:t xml:space="preserve">
</w:t>
      </w:r>
      <w:r>
        <w:br/>
      </w:r>
      <w:r>
        <w:rPr>
          <w:shd w:val="clear" w:color="auto" w:fill="FFFFFF"/>
        </w:rPr>
        <w:t xml:space="preserve">WeFund's mission is to host high-quality projects that align with WeFund's investor community, community-driven decision making for 100% transparency, and managing funds exclusively on Terra's Anchor protocol using smart contracts for investor security.</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w:t>
      </w:r>
      <w:r w:rsidR="008719EE">
        <w:rPr>
          <w:shd w:val="clear" w:color="auto" w:fill="FFFFFF"/>
        </w:rPr>
        <w:t/>
      </w:r>
      <w:r>
        <w:rPr>
          <w:shd w:val="clear" w:color="auto" w:fill="FFFFFF"/>
        </w:rPr>
        <w:t>, and has the power and authority to own, lease and operate its properties and carry on its business as now 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The execution, delivery, and performance by the Company of this instrument is within the power of the Company and, other than concerning the actions to be taken when Tokens are to be issued to the Purchaser, has been duly authorized by all necessary actions on the part of the Company. This instrument constitutes a legal, valid, and binding obligation of the Company, enforceable against the Company per its terms, except as limited by bankruptcy, insolvency, or other laws of general application relating to or affecting the enforcement of creditors’ rights generally and general principles of equity. To the knowledge of the Company, it is not in violation of (</w:t>
      </w:r>
      <w:proofErr w:type="spellStart"/>
      <w:r>
        <w:rPr>
          <w:shd w:val="clear" w:color="auto" w:fill="FFFFFF"/>
        </w:rPr>
        <w:t>i</w:t>
      </w:r>
      <w:proofErr w:type="spellEnd"/>
      <w:r>
        <w:rPr>
          <w:shd w:val="clear" w:color="auto" w:fill="FFFFFF"/>
        </w:rPr>
        <w:t>) its current articles of incorporation or bylaws,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To the knowledge of the Company, the performance and consummation of the transactions contemplated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 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 infringement of the rights of others. </w:t>
      </w:r>
      <w:r w:rsidR="008719EE">
        <w:rPr>
          <w:shd w:val="clear" w:color="auto" w:fill="FFFFFF"/>
        </w:rPr>
        <w:t xml:space="preserve">Test</w:t>
      </w:r>
      <w:r w:rsidR="00F33EBB">
        <w:rPr>
          <w:shd w:val="clear" w:color="auto" w:fill="FFFFFF"/>
        </w:rPr>
        <w:t/>
      </w:r>
      <w:r w:rsidR="008719EE">
        <w:rPr>
          <w:shd w:val="clear" w:color="auto" w:fill="FFFFFF"/>
        </w:rPr>
        <w:t/>
      </w:r>
      <w:r>
        <w:rPr>
          <w:shd w:val="clear" w:color="auto" w:fill="FFFFFF"/>
        </w:rPr>
        <w:t xml:space="preserve"> is not a proprietary trade name of the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 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The Purchaser has full legal capacity, power, and authority to execute and deliver this instrument and to perform its obligations hereunder. This instrument constitutes a valid and binding obligation of the Purchaser, enforceable per its terms, except as limited by bankruptcy, insolvency, or other laws of general application relating to or affecting the enforcement of creditors’ rights generally and general principles of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and sales of this instrument have not been registered under any country’s securities laws and, therefore, cannot be resold except in compliance with the applicable country’s laws. The Purchaser is purchasing this instrument for its account for investment,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investment, can incur a complete loss of such investment without impairing the Purchaser’s financial condition, and can bear the economic risk of such investment for an indefinite 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 arising from the efforts of the Company and its employees to develop and market the [Network] and the [Network Launch] and related sale of the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 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The Company will accept payment for the Right purchased under this SAFT in UST. Purchaser shall make the required payment to the Company in consideration for Purchaser’s purchase of the Right pursuant to the SAFT through the procedures set forth 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For purposes of this instrument, the value of the Purchase Amount shall be deemed in UST whether the Purchaser pays in UST, valued at the Applicable Exchange Rate for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them. This instrument is one of a series of similar instruments entered into by the Company from time to time. Any provision of this instrument may be amended, waived, or modified only upon the written consent of the Company and the holders of a majority, in the aggregate, of the Purchase Amounts paid to the Company with respect to all SAFTs outstanding at the time of such amendment, waiver or 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Any notice required or permitted by this instrument will be deemed sufficient when sent by email to the relevant address listed on the signature page, as subsequently modified by written notice received by the appropriate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The Purchaser is not entitled, as a holder of this instrument, to vote or receive dividends or be deemed the holder of capital stock of the Company for any purpose, nor will anything contained herein be construed to confer on the Purchaser, as such, any of the rights of a stockholder of the Company or any right to vote for the election of directors or upon any matter submitted to stockholders at any meeting thereof, or to give or withhold consent to any corporate action or to receive notice of meetings, or to receive subscription rights or 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xml:space="preserve">, that this instrument and/or the rights contained herein may be assigned without the Company’s consent by the Purchaser to any other entity who directly or  indirectly, controls, is controlled by or is under common control with the Purchaser, including, without limitation, any general partner, managing member, officer or director of the Purchaser, or any venture capital fund now or hereafter existing which is controlled by one or more general partners or managing members of, or shares the same management company with, the Purchaser; and </w:t>
      </w:r>
      <w:r>
        <w:rPr>
          <w:i/>
          <w:iCs/>
          <w:shd w:val="clear" w:color="auto" w:fill="FFFFFF"/>
        </w:rPr>
        <w:t>provided, further</w:t>
      </w:r>
      <w:r>
        <w:rPr>
          <w:shd w:val="clear" w:color="auto" w:fill="FFFFFF"/>
        </w:rPr>
        <w:t>, that the Company may assign this instrument in whole, without the consent of the Purchaser, in connection with a reincorporation to change the Company’s 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 the event any one or more of the provisions of this instrument is for any reason held to be invalid, illegal or unenforceable, in whole or in part or any respect, or in the event that any one or more of the provisions of this instrument operates or would prospectively operate to invalidate this instrument, then and in any such event, such provision(s) only will be deemed null and void and will not affect any other provision of this instrument and the remaining provisions of this instrument will remain operative and in full force and effect and will not be affected, prejudiced, or disturbed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w:t>
      </w:r>
      <w:r w:rsidR="008719EE">
        <w:rPr>
          <w:shd w:val="clear" w:color="auto" w:fill="FFFFFF"/>
        </w:rPr>
        <w:t xml:space="preserve"> </w:t>
      </w:r>
      <w:r>
        <w:rPr>
          <w:shd w:val="clear" w:color="auto" w:fill="FFFFFF"/>
        </w:rPr>
        <w:t>without regard to the conflicts of law provisions of such 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IN WITNESS 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w:t>
      </w:r>
      <w:r w:rsidR="008719EE">
        <w:rPr>
          <w:shd w:val="clear" w:color="auto" w:fill="FFFFFF"/>
        </w:rPr>
        <w:t xml:space="preserve">Test</w:t>
      </w:r>
      <w:proofErr w:type="gramStart"/>
      <w:r w:rsidR="00F33EBB">
        <w:rPr>
          <w:shd w:val="clear" w:color="auto" w:fill="FFFFFF"/>
        </w:rPr>
        <w:t/>
      </w:r>
      <w:proofErr w:type="gramEnd"/>
      <w:r w:rsidR="008719EE">
        <w:rPr>
          <w:shd w:val="clear" w:color="auto" w:fill="FFFFFF"/>
        </w:rPr>
        <w:t/>
      </w:r>
      <w:r>
        <w:rPr>
          <w:shd w:val="clear" w:color="auto" w:fill="FFFFFF"/>
        </w:rPr>
        <w:t>]</w:t>
      </w:r>
    </w:p>
    <w:p w:rsidR="00FD5BB5" w:rsidRDefault="00FD5BB5">
      <w:pPr>
        <w:pStyle w:val="Heading"/>
        <w:ind w:left="100"/>
        <w:rPr>
          <w:shd w:val="clear" w:color="auto" w:fill="FFFFFF"/>
        </w:rPr>
      </w:pPr>
    </w:p>
    <w:p w:rsidR="00615366" w:rsidRDefault="00615366">
      <w:pPr>
        <w:pStyle w:val="BodyText"/>
        <w:tabs>
          <w:tab w:val="left" w:pos="6151"/>
        </w:tabs>
        <w:spacing w:before="181"/>
        <w:ind w:left="100"/>
        <w:rPr>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FB3C14">
        <w:rPr>
          <w:rFonts w:ascii="Times New Roman" w:hAnsi="Times New Roman"/>
          <w:u w:val="thick"/>
          <w:shd w:val="clear" w:color="auto" w:fill="FFFFFF"/>
        </w:rPr>
        <w:drawing>
          <wp:inline distT="0" distB="0" distL="0" distR="0">
            <wp:extent cx="1428750" cy="47625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r w:rsidR="00361F1C">
        <w:rPr>
          <w:rFonts w:ascii="Times New Roman" w:hAnsi="Times New Roman"/>
          <w:u w:val="thick"/>
          <w:shd w:val="clear" w:color="auto" w:fill="FFFFFF"/>
        </w:rPr>
        <w:t/>
      </w:r>
      <w:proofErr w:type="spellStart"/>
      <w:r w:rsidR="00CD1281">
        <w:rPr>
          <w:rFonts w:ascii="Times New Roman" w:hAnsi="Times New Roman"/>
          <w:u w:val="thick"/>
          <w:shd w:val="clear" w:color="auto" w:fill="FFFFFF"/>
        </w:rPr>
        <w:t/>
      </w:r>
      <w:proofErr w:type="spellEnd"/>
      <w:r w:rsidR="00FB3C14">
        <w:rPr>
          <w:rFonts w:ascii="Times New Roman" w:hAnsi="Times New Roman"/>
          <w:u w:val="thick"/>
          <w:shd w:val="clear" w:color="auto" w:fill="FFFFFF"/>
        </w:rPr>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8719EE">
      <w:pPr>
        <w:pStyle w:val="BodyText"/>
        <w:spacing w:before="93"/>
        <w:ind w:left="100"/>
        <w:rPr>
          <w:shd w:val="clear" w:color="auto" w:fill="FFFFFF"/>
        </w:rPr>
      </w:pPr>
      <w:r w:rsidRPr="008719EE">
        <w:rPr>
          <w:rFonts w:ascii="Times New Roman" w:hAnsi="Times New Roman"/>
          <w:u w:val="single"/>
          <w:shd w:val="clear" w:color="auto" w:fill="FFFFFF"/>
        </w:rPr>
        <w:t/>
      </w:r>
      <w:proofErr w:type="spellStart"/>
      <w:proofErr w:type="gramStart"/>
      <w:r w:rsidRPr="008719EE">
        <w:rPr>
          <w:rFonts w:ascii="Times New Roman" w:hAnsi="Times New Roman"/>
          <w:u w:val="single"/>
          <w:shd w:val="clear" w:color="auto" w:fill="FFFFFF"/>
        </w:rPr>
        <w:t/>
      </w:r>
      <w:proofErr w:type="spellEnd"/>
      <w:proofErr w:type="gramEnd"/>
      <w:r w:rsidRPr="008719EE">
        <w:rPr>
          <w:rFonts w:ascii="Times New Roman" w:hAnsi="Times New Roman"/>
          <w:u w:val="single"/>
          <w:shd w:val="clear" w:color="auto" w:fill="FFFFFF"/>
        </w:rPr>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r w:rsidRPr="008719EE">
        <w:rPr>
          <w:u w:val="single"/>
          <w:shd w:val="clear" w:color="auto" w:fill="FFFFFF"/>
        </w:rPr>
        <w:t xml:space="preserve">  </w:t>
      </w:r>
    </w:p>
    <w:p w:rsidR="00BC2EE8" w:rsidRPr="008719EE" w:rsidRDefault="008719EE">
      <w:pPr>
        <w:pStyle w:val="BodyText"/>
        <w:spacing w:before="93"/>
        <w:ind w:left="100"/>
        <w:rPr>
          <w:u w:val="single"/>
          <w:shd w:val="clear" w:color="auto" w:fill="FFFFFF"/>
        </w:rPr>
      </w:pPr>
      <w:r w:rsidRPr="008719EE">
        <w:rPr>
          <w:rFonts w:ascii="Times New Roman" w:hAnsi="Times New Roman"/>
          <w:u w:val="single"/>
          <w:shd w:val="clear" w:color="auto" w:fill="FFFFFF"/>
        </w:rPr>
        <w:t/>
      </w:r>
      <w:proofErr w:type="gramStart"/>
      <w:r w:rsidRPr="008719EE">
        <w:rPr>
          <w:rFonts w:ascii="Times New Roman" w:hAnsi="Times New Roman"/>
          <w:u w:val="single"/>
          <w:shd w:val="clear" w:color="auto" w:fill="FFFFFF"/>
        </w:rPr>
        <w:t/>
      </w:r>
      <w:proofErr w:type="gramEnd"/>
      <w:r w:rsidRPr="008719EE">
        <w:rPr>
          <w:rFonts w:ascii="Times New Roman" w:hAnsi="Times New Roman"/>
          <w:u w:val="single"/>
          <w:shd w:val="clear" w:color="auto" w:fill="FFFFFF"/>
        </w:rPr>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sidR="00D66F4A">
        <w:rPr>
          <w:rFonts w:ascii="Times New Roman" w:hAnsi="Times New Roman"/>
          <w:u w:val="thick"/>
          <w:shd w:val="clear" w:color="auto" w:fill="FFFFFF"/>
        </w:rPr>
        <w:t xml:space="preserve">        {%purchaserSignature}</w:t>
      </w:r>
      <w:proofErr w:type="spellStart"/>
      <w:r w:rsidR="00D4223E">
        <w:rPr>
          <w:rFonts w:ascii="Times New Roman" w:hAnsi="Times New Roman"/>
          <w:u w:val="thick"/>
          <w:shd w:val="clear" w:color="auto" w:fill="FFFFFF"/>
        </w:rPr>
        <w:t/>
      </w:r>
      <w:r w:rsidR="00D66F4A">
        <w:rPr>
          <w:rFonts w:ascii="Times New Roman" w:hAnsi="Times New Roman"/>
          <w:u w:val="thick"/>
          <w:shd w:val="clear" w:color="auto" w:fill="FFFFFF"/>
        </w:rPr>
        <w:t/>
      </w:r>
      <w:r w:rsidR="00D4223E">
        <w:rPr>
          <w:rFonts w:ascii="Times New Roman" w:hAnsi="Times New Roman"/>
          <w:u w:val="thick"/>
          <w:shd w:val="clear" w:color="auto" w:fill="FFFFFF"/>
        </w:rPr>
        <w:t/>
      </w:r>
      <w:bookmarkStart w:id="0" w:name="_GoBack"/>
      <w:bookmarkEnd w:id="0"/>
      <w:r w:rsidR="00D4223E">
        <w:rPr>
          <w:rFonts w:ascii="Times New Roman" w:hAnsi="Times New Roman"/>
          <w:u w:val="thick"/>
          <w:shd w:val="clear" w:color="auto" w:fill="FFFFFF"/>
        </w:rPr>
        <w:t/>
      </w:r>
      <w:proofErr w:type="spellEnd"/>
      <w:r w:rsidR="00D4223E">
        <w:rPr>
          <w:rFonts w:ascii="Times New Roman" w:hAnsi="Times New Roman"/>
          <w:u w:val="thick"/>
          <w:shd w:val="clear" w:color="auto" w:fill="FFFFFF"/>
        </w:rPr>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D4223E" w:rsidRDefault="00D464F4" w:rsidP="00D4223E">
      <w:pPr>
        <w:pStyle w:val="BodyText"/>
        <w:spacing w:before="93" w:line="468" w:lineRule="auto"/>
        <w:ind w:left="5140" w:right="1050"/>
        <w:rPr>
          <w:shd w:val="clear" w:color="auto" w:fill="FFFFFF"/>
        </w:rPr>
      </w:pPr>
      <w:r>
        <w:rPr>
          <w:shd w:val="clear" w:color="auto" w:fill="FFFFFF"/>
        </w:rPr>
        <w:t>Name:</w:t>
      </w:r>
      <w:r w:rsidR="00D4223E">
        <w:rPr>
          <w:shd w:val="clear" w:color="auto" w:fill="FFFFFF"/>
        </w:rPr>
        <w:t xml:space="preserve"> </w:t>
      </w:r>
      <w:r>
        <w:rPr>
          <w:shd w:val="clear" w:color="auto" w:fill="FFFFFF"/>
        </w:rPr>
        <w:t xml:space="preserve"> </w:t>
      </w:r>
      <w:r w:rsidR="00D4223E">
        <w:rPr>
          <w:shd w:val="clear" w:color="auto" w:fill="FFFFFF"/>
        </w:rPr>
        <w:t xml:space="preserve"> {purchaserName}</w:t>
      </w:r>
      <w:proofErr w:type="spellStart"/>
      <w:r w:rsidR="00D4223E">
        <w:rPr>
          <w:shd w:val="clear" w:color="auto" w:fill="FFFFFF"/>
        </w:rPr>
        <w:t/>
      </w:r>
      <w:proofErr w:type="spellEnd"/>
      <w:r w:rsidR="00D4223E">
        <w:rPr>
          <w:shd w:val="clear" w:color="auto" w:fill="FFFFFF"/>
        </w:rPr>
        <w:t/>
      </w:r>
    </w:p>
    <w:p w:rsidR="00D4223E" w:rsidRDefault="00D464F4" w:rsidP="00D4223E">
      <w:pPr>
        <w:pStyle w:val="BodyText"/>
        <w:spacing w:before="93" w:line="468" w:lineRule="auto"/>
        <w:ind w:left="5140" w:right="1050"/>
        <w:rPr>
          <w:shd w:val="clear" w:color="auto" w:fill="FFFFFF"/>
        </w:rPr>
      </w:pPr>
      <w:r>
        <w:rPr>
          <w:shd w:val="clear" w:color="auto" w:fill="FFFFFF"/>
        </w:rPr>
        <w:t xml:space="preserve">Title: </w:t>
      </w:r>
      <w:r w:rsidR="00D4223E">
        <w:rPr>
          <w:shd w:val="clear" w:color="auto" w:fill="FFFFFF"/>
        </w:rPr>
        <w:t xml:space="preserve">     {purchaserTitle}</w:t>
      </w:r>
      <w:proofErr w:type="spellStart"/>
      <w:r w:rsidR="00D4223E">
        <w:rPr>
          <w:shd w:val="clear" w:color="auto" w:fill="FFFFFF"/>
        </w:rPr>
        <w:t/>
      </w:r>
      <w:proofErr w:type="spellEnd"/>
      <w:r w:rsidR="00D4223E">
        <w:rPr>
          <w:shd w:val="clear" w:color="auto" w:fill="FFFFFF"/>
        </w:rPr>
        <w:t/>
      </w:r>
    </w:p>
    <w:p w:rsidR="00BC2EE8" w:rsidRDefault="00D464F4" w:rsidP="00D4223E">
      <w:pPr>
        <w:pStyle w:val="BodyText"/>
        <w:spacing w:before="93" w:line="468" w:lineRule="auto"/>
        <w:ind w:left="5140" w:right="1050"/>
      </w:pPr>
      <w:r>
        <w:rPr>
          <w:shd w:val="clear" w:color="auto" w:fill="FFFFFF"/>
        </w:rPr>
        <w:t>Email:</w:t>
      </w:r>
      <w:r w:rsidR="00D4223E">
        <w:rPr>
          <w:shd w:val="clear" w:color="auto" w:fill="FFFFFF"/>
        </w:rPr>
        <w:t xml:space="preserve">   {purchaserEmail}</w:t>
      </w:r>
      <w:proofErr w:type="spellStart"/>
      <w:r w:rsidR="00D4223E">
        <w:rPr>
          <w:shd w:val="clear" w:color="auto" w:fill="FFFFFF"/>
        </w:rPr>
        <w:t/>
      </w:r>
      <w:proofErr w:type="spellEnd"/>
      <w:r w:rsidR="00D4223E">
        <w:rPr>
          <w:shd w:val="clear" w:color="auto" w:fill="FFFFFF"/>
        </w:rPr>
        <w:t/>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906" w:rsidRDefault="00264906">
      <w:r>
        <w:separator/>
      </w:r>
    </w:p>
  </w:endnote>
  <w:endnote w:type="continuationSeparator" w:id="0">
    <w:p w:rsidR="00264906" w:rsidRDefault="0026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906" w:rsidRDefault="00264906">
      <w:r>
        <w:separator/>
      </w:r>
    </w:p>
  </w:footnote>
  <w:footnote w:type="continuationSeparator" w:id="0">
    <w:p w:rsidR="00264906" w:rsidRDefault="00264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rPr>
        <w:rFonts w:hint="eastAsia"/>
      </w:rPr>
    </w:pPr>
  </w:p>
  <w:p w:rsidR="00BC2EE8" w:rsidRDefault="00BC2EE8">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05F852AE">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05F852AE">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080876">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1643C58">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8D25898">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F3297BA">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7727076">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84C5340">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51437E8">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8CE92C">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67685BAE">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67685BAE">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7A0E0DCE">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7A0E0DCE">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EDC44BC">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F022FAA">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7AA1C8E">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FE6438">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3765DD8">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A2BA62D6">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91836F2">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67685BAE">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7A0E0DCE">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DC44BC">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F022FAA">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AA1C8E">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8FE6438">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3765DD8">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2BA62D6">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91836F2">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264906"/>
    <w:rsid w:val="00361F1C"/>
    <w:rsid w:val="00442991"/>
    <w:rsid w:val="004958F7"/>
    <w:rsid w:val="00615366"/>
    <w:rsid w:val="008719EE"/>
    <w:rsid w:val="009C0E2A"/>
    <w:rsid w:val="00BA746A"/>
    <w:rsid w:val="00BC2EE8"/>
    <w:rsid w:val="00C04BB2"/>
    <w:rsid w:val="00CD1281"/>
    <w:rsid w:val="00D36598"/>
    <w:rsid w:val="00D4223E"/>
    <w:rsid w:val="00D464F4"/>
    <w:rsid w:val="00D66F4A"/>
    <w:rsid w:val="00F33EBB"/>
    <w:rsid w:val="00FB3C14"/>
    <w:rsid w:val="00FD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 Id="rId15"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10</cp:revision>
  <dcterms:created xsi:type="dcterms:W3CDTF">2022-02-02T21:34:00Z</dcterms:created>
  <dcterms:modified xsi:type="dcterms:W3CDTF">2022-02-04T20:51:00Z</dcterms:modified>
</cp:coreProperties>
</file>