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 xml:space="preserve">BITCOIN</w:t>
      </w:r>
      <w:proofErr w:type="gramStart"/>
      <w:r>
        <w:rPr>
          <w:shd w:val="clear" w:color="auto" w:fill="FFFFFF"/>
        </w:rPr>
        <w:t/>
      </w:r>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 xml:space="preserve">wefund</w:t>
      </w:r>
      <w:r w:rsidR="00D464F4">
        <w:rPr>
          <w:b/>
          <w:bCs/>
          <w:shd w:val="clear" w:color="auto" w:fill="FFFFFF"/>
        </w:rPr>
        <w:t xml:space="preserve"> </w:t>
      </w:r>
      <w:bookmarkStart w:id="0" w:name="_GoBack"/>
      <w:bookmarkEnd w:id="0"/>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 xml:space="preserve">THIS CERTIFIES </w:t>
      </w:r>
      <w:r>
        <w:rPr>
          <w:shd w:val="clear" w:color="auto" w:fill="FFFFFF"/>
        </w:rPr>
        <w:t xml:space="preserve">THAT </w:t>
      </w:r>
      <w:r>
        <w:rPr>
          <w:shd w:val="clear" w:color="auto" w:fill="FFFFFF"/>
        </w:rPr>
        <w:t>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Pr>
          <w:u w:val="single"/>
          <w:shd w:val="clear" w:color="auto" w:fill="FFFFFF"/>
        </w:rPr>
        <w:t xml:space="preserve"> </w:t>
      </w:r>
      <w:r>
        <w:rPr>
          <w:u w:val="single"/>
          <w:shd w:val="clear" w:color="auto" w:fill="FFFFFF"/>
        </w:rPr>
        <w:tab/>
      </w:r>
      <w:r>
        <w:rPr>
          <w:shd w:val="clear" w:color="auto" w:fill="FFFFFF"/>
        </w:rPr>
        <w:t>]  (the “</w:t>
      </w:r>
      <w:r>
        <w:rPr>
          <w:b/>
          <w:bCs/>
          <w:i/>
          <w:iCs/>
          <w:shd w:val="clear" w:color="auto" w:fill="FFFFFF"/>
        </w:rPr>
        <w:t>Purchase Amount</w:t>
      </w:r>
      <w:r>
        <w:rPr>
          <w:shd w:val="clear" w:color="auto" w:fill="FFFFFF"/>
        </w:rPr>
        <w:t xml:space="preserve">”) on or </w:t>
      </w:r>
      <w:r>
        <w:rPr>
          <w:spacing w:val="-1"/>
          <w:shd w:val="clear" w:color="auto" w:fill="FFFFFF"/>
        </w:rPr>
        <w:t xml:space="preserve"> </w:t>
      </w:r>
      <w:r>
        <w:rPr>
          <w:shd w:val="clear" w:color="auto" w:fill="FFFFFF"/>
        </w:rPr>
        <w:t>about</w:t>
      </w:r>
      <w:r>
        <w:rPr>
          <w:spacing w:val="-1"/>
          <w:shd w:val="clear" w:color="auto" w:fill="FFFFFF"/>
        </w:rPr>
        <w:t xml:space="preserve"> </w:t>
      </w:r>
      <w:r>
        <w:rPr>
          <w:shd w:val="clear" w:color="auto" w:fill="FFFFFF"/>
        </w:rPr>
        <w:t>[</w:t>
      </w:r>
      <w:r>
        <w:rPr>
          <w:u w:val="single"/>
          <w:shd w:val="clear" w:color="auto" w:fill="FFFFFF"/>
        </w:rPr>
        <w:t xml:space="preserve"> </w:t>
      </w:r>
      <w:r>
        <w:rPr>
          <w:u w:val="single"/>
          <w:shd w:val="clear" w:color="auto" w:fill="FFFFFF"/>
        </w:rPr>
        <w:tab/>
      </w:r>
      <w:r>
        <w:rPr>
          <w:shd w:val="clear" w:color="auto" w:fill="FFFFFF"/>
        </w:rPr>
        <w:t xml:space="preserve">], </w:t>
      </w:r>
      <w:r>
        <w:rPr>
          <w:shd w:val="clear" w:color="auto" w:fill="FFFFFF"/>
        </w:rPr>
        <w:t>2022,</w:t>
      </w:r>
      <w:r>
        <w:rPr>
          <w:shd w:val="clear" w:color="auto" w:fill="FFFFFF"/>
        </w:rPr>
        <w:t>____, an ____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xml:space="preserve">”) to certain units of WFD </w:t>
      </w:r>
      <w:r>
        <w:rPr>
          <w:shd w:val="clear" w:color="auto" w:fill="FFFFFF"/>
        </w:rPr>
        <w:t xml:space="preserve">Token </w:t>
      </w:r>
      <w:r>
        <w:rPr>
          <w:shd w:val="clear" w:color="auto" w:fill="FFFFFF"/>
        </w:rPr>
        <w:t>(the “</w:t>
      </w:r>
      <w:r>
        <w:rPr>
          <w:b/>
          <w:bCs/>
          <w:i/>
          <w:iCs/>
          <w:shd w:val="clear" w:color="auto" w:fill="FFFFFF"/>
        </w:rPr>
        <w:t>Token</w:t>
      </w:r>
      <w:r>
        <w:rPr>
          <w:shd w:val="clear" w:color="auto" w:fill="FFFFFF"/>
        </w:rPr>
        <w:t>” or “</w:t>
      </w:r>
      <w:r>
        <w:rPr>
          <w:b/>
          <w:bCs/>
          <w:i/>
          <w:iCs/>
          <w:shd w:val="clear" w:color="auto" w:fill="FFFFFF"/>
        </w:rPr>
        <w:t>___ Token</w:t>
      </w:r>
      <w:r>
        <w:rPr>
          <w:shd w:val="clear" w:color="auto" w:fill="FFFFFF"/>
        </w:rPr>
        <w:t>”), subject to the terms set forth</w:t>
      </w:r>
      <w:r>
        <w:rPr>
          <w:shd w:val="clear" w:color="auto" w:fill="FFFFFF"/>
        </w:rPr>
        <w:t xml:space="preserve">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xml:space="preserve">. If there is a Network Launch before the expiration or termination of this instrument, the Company will automatically issue to the Purchaser a number of units of the </w:t>
      </w:r>
      <w:r>
        <w:rPr>
          <w:shd w:val="clear" w:color="auto" w:fill="FFFFFF"/>
        </w:rPr>
        <w:t xml:space="preserve">Token </w:t>
      </w:r>
      <w:r>
        <w:rPr>
          <w:shd w:val="clear" w:color="auto" w:fill="FFFFFF"/>
        </w:rPr>
        <w:t>equal to the Purchase Amount divided by the Discount</w:t>
      </w:r>
      <w:r>
        <w:rPr>
          <w:shd w:val="clear" w:color="auto" w:fill="FFFFFF"/>
        </w:rPr>
        <w:t xml:space="preserve"> </w:t>
      </w:r>
      <w:r>
        <w:rPr>
          <w:shd w:val="clear" w:color="auto" w:fill="FFFFFF"/>
        </w:rPr>
        <w:t>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w:t>
      </w:r>
      <w:r>
        <w:rPr>
          <w:shd w:val="clear" w:color="auto" w:fill="FFFFFF"/>
        </w:rPr>
        <w:t>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 xml:space="preserve">The Purchaser will execute and deliver to the Company any and all other transaction documents related to this </w:t>
      </w:r>
      <w:r>
        <w:rPr>
          <w:shd w:val="clear" w:color="auto" w:fill="FFFFFF"/>
        </w:rPr>
        <w:t xml:space="preserve">SAFT, </w:t>
      </w:r>
      <w:r>
        <w:rPr>
          <w:shd w:val="clear" w:color="auto" w:fill="FFFFFF"/>
        </w:rPr>
        <w:t xml:space="preserve">including verification </w:t>
      </w:r>
      <w:r>
        <w:rPr>
          <w:shd w:val="clear" w:color="auto" w:fill="FFFFFF"/>
        </w:rPr>
        <w:t>of accredited investor status or non-U.S. person status under the applicable securities laws;</w:t>
      </w:r>
      <w:r>
        <w:rPr>
          <w:shd w:val="clear" w:color="auto" w:fill="FFFFFF"/>
        </w:rPr>
        <w:t xml:space="preserve"> </w:t>
      </w:r>
      <w:r>
        <w:rPr>
          <w:shd w:val="clear" w:color="auto" w:fill="FFFFFF"/>
        </w:rPr>
        <w:t>and</w:t>
      </w:r>
    </w:p>
    <w:p w:rsidR="00BC2EE8" w:rsidRDefault="00D464F4">
      <w:pPr>
        <w:pStyle w:val="ListParagraph"/>
        <w:numPr>
          <w:ilvl w:val="1"/>
          <w:numId w:val="5"/>
        </w:numPr>
        <w:ind w:right="116"/>
        <w:rPr>
          <w:shd w:val="clear" w:color="auto" w:fill="FFFFFF"/>
        </w:rPr>
      </w:pPr>
      <w:r>
        <w:rPr>
          <w:shd w:val="clear" w:color="auto" w:fill="FFFFFF"/>
        </w:rPr>
        <w:t xml:space="preserve">The Purchaser will provide to the Company a network address for which to allocate Purchaser's </w:t>
      </w:r>
      <w:r>
        <w:rPr>
          <w:shd w:val="clear" w:color="auto" w:fill="FFFFFF"/>
        </w:rPr>
        <w:t xml:space="preserve">Tokens </w:t>
      </w:r>
      <w:r>
        <w:rPr>
          <w:shd w:val="clear" w:color="auto" w:fill="FFFFFF"/>
        </w:rPr>
        <w:t>upon the Network</w:t>
      </w:r>
      <w:r>
        <w:rPr>
          <w:shd w:val="clear" w:color="auto" w:fill="FFFFFF"/>
        </w:rPr>
        <w:t xml:space="preserve"> </w:t>
      </w:r>
      <w:r>
        <w:rPr>
          <w:shd w:val="clear" w:color="auto" w:fill="FFFFFF"/>
        </w:rPr>
        <w:t>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w:t>
      </w:r>
      <w:r>
        <w:rPr>
          <w:shd w:val="clear" w:color="auto" w:fill="FFFFFF"/>
        </w:rPr>
        <w:t xml:space="preserve">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w:t>
      </w:r>
      <w:r>
        <w:rPr>
          <w:shd w:val="clear" w:color="auto" w:fill="FFFFFF"/>
        </w:rPr>
        <w:t>current with, the consummation of the Dissolution Event[, subject to the rights and preferences of the holders of the Company’s preferred stock, as set forth in the Company’s Certificate of Incorporation, as it may be amended from time to time.][1] If imme</w:t>
      </w:r>
      <w:r>
        <w:rPr>
          <w:shd w:val="clear" w:color="auto" w:fill="FFFFFF"/>
        </w:rPr>
        <w:t xml:space="preserve">diately prior to the consummation of the Dissolution Event, the assets of the Company that remain legally available, for distribution to the Purchaser and all holders of all other </w:t>
      </w:r>
      <w:r>
        <w:rPr>
          <w:shd w:val="clear" w:color="auto" w:fill="FFFFFF"/>
        </w:rPr>
        <w:t xml:space="preserve">SAFTs </w:t>
      </w:r>
      <w:r>
        <w:rPr>
          <w:shd w:val="clear" w:color="auto" w:fill="FFFFFF"/>
        </w:rPr>
        <w:t>(the “</w:t>
      </w:r>
      <w:r>
        <w:rPr>
          <w:b/>
          <w:bCs/>
          <w:i/>
          <w:iCs/>
          <w:shd w:val="clear" w:color="auto" w:fill="FFFFFF"/>
        </w:rPr>
        <w:t>Dissolving Purchasers</w:t>
      </w:r>
      <w:r>
        <w:rPr>
          <w:shd w:val="clear" w:color="auto" w:fill="FFFFFF"/>
        </w:rPr>
        <w:t>”), as determined in good faith by the Comp</w:t>
      </w:r>
      <w:r>
        <w:rPr>
          <w:shd w:val="clear" w:color="auto" w:fill="FFFFFF"/>
        </w:rPr>
        <w:t>any’s board of directors, are insufficient to permit the payment to the Dissolving Purchasers of their respective Discounted Purchase Amounts, then the remaining assets of the Company legally available for distribution, following all distributions to the h</w:t>
      </w:r>
      <w:r>
        <w:rPr>
          <w:shd w:val="clear" w:color="auto" w:fill="FFFFFF"/>
        </w:rPr>
        <w:t>olders of the Company’s preferred stock, will be distributed with equal priority and pro rata among the Dissolving Purchasers in proportion to the Discounted Purchase Amounts they would otherwise be entitled to receive pursuant to this Section 1(b). Any di</w:t>
      </w:r>
      <w:r>
        <w:rPr>
          <w:shd w:val="clear" w:color="auto" w:fill="FFFFFF"/>
        </w:rPr>
        <w:t>stributed amounts shall be in U.S.</w:t>
      </w:r>
      <w:r>
        <w:rPr>
          <w:shd w:val="clear" w:color="auto" w:fill="FFFFFF"/>
        </w:rPr>
        <w:t xml:space="preserve"> </w:t>
      </w:r>
      <w:r>
        <w:rPr>
          <w:shd w:val="clear" w:color="auto" w:fill="FFFFFF"/>
        </w:rPr>
        <w:t>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xml:space="preserve">” the maximum price per </w:t>
      </w:r>
      <w:r>
        <w:rPr>
          <w:shd w:val="clear" w:color="auto" w:fill="FFFFFF"/>
        </w:rPr>
        <w:t xml:space="preserve">Token </w:t>
      </w:r>
      <w:r>
        <w:rPr>
          <w:shd w:val="clear" w:color="auto" w:fill="FFFFFF"/>
        </w:rPr>
        <w:t xml:space="preserve">sold by the Company to the public during the Network Launch </w:t>
      </w:r>
      <w:r>
        <w:rPr>
          <w:shd w:val="clear" w:color="auto" w:fill="FFFFFF"/>
        </w:rPr>
        <w:t>multiplied by the Discount</w:t>
      </w:r>
      <w:r>
        <w:rPr>
          <w:shd w:val="clear" w:color="auto" w:fill="FFFFFF"/>
        </w:rPr>
        <w:t xml:space="preserve"> </w:t>
      </w:r>
      <w:r>
        <w:rPr>
          <w:shd w:val="clear" w:color="auto" w:fill="FFFFFF"/>
        </w:rPr>
        <w:t>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Price Set at Seed</w:t>
      </w:r>
      <w:r>
        <w:rPr>
          <w:b/>
          <w:bCs/>
          <w:i/>
          <w:iCs/>
          <w:shd w:val="clear" w:color="auto" w:fill="FFFFFF"/>
        </w:rPr>
        <w:t xml:space="preserve">” </w:t>
      </w:r>
      <w:r>
        <w:rPr>
          <w:i/>
          <w:iCs/>
          <w:shd w:val="clear" w:color="auto" w:fill="FFFFFF"/>
        </w:rPr>
        <w:t>___</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Price Set at Pre-Sale</w:t>
      </w:r>
      <w:r>
        <w:rPr>
          <w:b/>
          <w:bCs/>
          <w:i/>
          <w:iCs/>
          <w:shd w:val="clear" w:color="auto" w:fill="FFFFFF"/>
        </w:rPr>
        <w:t xml:space="preserve">” </w:t>
      </w:r>
      <w:r>
        <w:rPr>
          <w:i/>
          <w:iCs/>
          <w:shd w:val="clear" w:color="auto" w:fill="FFFFFF"/>
        </w:rPr>
        <w:t>___</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Price Set at IDO</w:t>
      </w:r>
      <w:r>
        <w:rPr>
          <w:b/>
          <w:bCs/>
          <w:i/>
          <w:iCs/>
          <w:shd w:val="clear" w:color="auto" w:fill="FFFFFF"/>
        </w:rPr>
        <w:t xml:space="preserve">” </w:t>
      </w:r>
      <w:r>
        <w:rPr>
          <w:i/>
          <w:iCs/>
          <w:shd w:val="clear" w:color="auto" w:fill="FFFFFF"/>
        </w:rPr>
        <w:t>___</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xml:space="preserve">) a voluntary termination of operations of the Company, (ii) a general assignment for the benefit of the Company’s </w:t>
      </w:r>
      <w:r>
        <w:rPr>
          <w:shd w:val="clear" w:color="auto" w:fill="FFFFFF"/>
        </w:rPr>
        <w:t>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w:t>
      </w:r>
      <w:r>
        <w:rPr>
          <w:shd w:val="clear" w:color="auto" w:fill="FFFFFF"/>
        </w:rPr>
        <w:t>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w:t>
      </w:r>
      <w:r>
        <w:rPr>
          <w:shd w:val="clear" w:color="auto" w:fill="FFFFFF"/>
        </w:rPr>
        <w:t xml:space="preserve">Tokens </w:t>
      </w:r>
      <w:r>
        <w:rPr>
          <w:shd w:val="clear" w:color="auto" w:fill="FFFFFF"/>
        </w:rPr>
        <w:t xml:space="preserve">purchased by Purchasers, similar in form and content to this agreement, which a significant portion of the amount raised under the </w:t>
      </w:r>
      <w:r>
        <w:rPr>
          <w:shd w:val="clear" w:color="auto" w:fill="FFFFFF"/>
        </w:rPr>
        <w:t xml:space="preserve">SAFTs </w:t>
      </w:r>
      <w:r>
        <w:rPr>
          <w:shd w:val="clear" w:color="auto" w:fill="FFFFFF"/>
        </w:rPr>
        <w:t>will be used</w:t>
      </w:r>
      <w:r>
        <w:rPr>
          <w:shd w:val="clear" w:color="auto" w:fill="FFFFFF"/>
        </w:rPr>
        <w:t xml:space="preserve">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Pr>
          <w:shd w:val="clear" w:color="auto" w:fill="FFFFFF"/>
        </w:rPr>
        <w:t xml:space="preserve">___ </w:t>
      </w:r>
      <w:proofErr w:type="spellStart"/>
      <w:r>
        <w:rPr>
          <w:shd w:val="clear" w:color="auto" w:fill="FFFFFF"/>
        </w:rPr>
        <w:t>hat</w:t>
      </w:r>
      <w:proofErr w:type="spellEnd"/>
      <w:r>
        <w:rPr>
          <w:shd w:val="clear" w:color="auto" w:fill="FFFFFF"/>
        </w:rPr>
        <w:t xml:space="preserve"> enables ____</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w:t>
      </w:r>
      <w:r>
        <w:rPr>
          <w:shd w:val="clear" w:color="auto" w:fill="FFFFFF"/>
        </w:rPr>
        <w:t xml:space="preserve"> </w:t>
      </w:r>
      <w:r>
        <w:rPr>
          <w:shd w:val="clear" w:color="auto" w:fill="FFFFFF"/>
        </w:rPr>
        <w:t>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___, and has </w:t>
      </w:r>
      <w:r>
        <w:rPr>
          <w:shd w:val="clear" w:color="auto" w:fill="FFFFFF"/>
        </w:rPr>
        <w:t>the power and authority to own, lease and operate its properties and carry on its business as now</w:t>
      </w:r>
      <w:r>
        <w:rPr>
          <w:shd w:val="clear" w:color="auto" w:fill="FFFFFF"/>
        </w:rPr>
        <w:t xml:space="preserve"> </w:t>
      </w:r>
      <w:r>
        <w:rPr>
          <w:shd w:val="clear" w:color="auto" w:fill="FFFFFF"/>
        </w:rPr>
        <w:t>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 xml:space="preserve">The execution, </w:t>
      </w:r>
      <w:r>
        <w:rPr>
          <w:shd w:val="clear" w:color="auto" w:fill="FFFFFF"/>
        </w:rPr>
        <w:t xml:space="preserve">delivery, </w:t>
      </w:r>
      <w:r>
        <w:rPr>
          <w:shd w:val="clear" w:color="auto" w:fill="FFFFFF"/>
        </w:rPr>
        <w:t>and performance by the Company of this instrument is within the power of the Company and, other than concerning the actio</w:t>
      </w:r>
      <w:r>
        <w:rPr>
          <w:shd w:val="clear" w:color="auto" w:fill="FFFFFF"/>
        </w:rPr>
        <w:t xml:space="preserve">ns to be taken when </w:t>
      </w:r>
      <w:r>
        <w:rPr>
          <w:shd w:val="clear" w:color="auto" w:fill="FFFFFF"/>
        </w:rPr>
        <w:t xml:space="preserve">Tokens </w:t>
      </w:r>
      <w:r>
        <w:rPr>
          <w:shd w:val="clear" w:color="auto" w:fill="FFFFFF"/>
        </w:rPr>
        <w:t xml:space="preserve">are to be issued to the </w:t>
      </w:r>
      <w:r>
        <w:rPr>
          <w:shd w:val="clear" w:color="auto" w:fill="FFFFFF"/>
        </w:rPr>
        <w:t xml:space="preserve">Purchaser, </w:t>
      </w:r>
      <w:r>
        <w:rPr>
          <w:shd w:val="clear" w:color="auto" w:fill="FFFFFF"/>
        </w:rPr>
        <w:t xml:space="preserve">has been duly authorized by all necessary actions on the part of the </w:t>
      </w:r>
      <w:r>
        <w:rPr>
          <w:shd w:val="clear" w:color="auto" w:fill="FFFFFF"/>
        </w:rPr>
        <w:t xml:space="preserve">Company. </w:t>
      </w:r>
      <w:r>
        <w:rPr>
          <w:shd w:val="clear" w:color="auto" w:fill="FFFFFF"/>
        </w:rPr>
        <w:t xml:space="preserve">This instrument constitutes a legal, valid, and binding obligation of the </w:t>
      </w:r>
      <w:r>
        <w:rPr>
          <w:shd w:val="clear" w:color="auto" w:fill="FFFFFF"/>
        </w:rPr>
        <w:t xml:space="preserve">Company, </w:t>
      </w:r>
      <w:r>
        <w:rPr>
          <w:shd w:val="clear" w:color="auto" w:fill="FFFFFF"/>
        </w:rPr>
        <w:t>enforceable against the Company p</w:t>
      </w:r>
      <w:r>
        <w:rPr>
          <w:shd w:val="clear" w:color="auto" w:fill="FFFFFF"/>
        </w:rPr>
        <w:t xml:space="preserve">er its terms, except as limited by </w:t>
      </w:r>
      <w:r>
        <w:rPr>
          <w:shd w:val="clear" w:color="auto" w:fill="FFFFFF"/>
        </w:rPr>
        <w:t xml:space="preserve">bankruptcy, insolvency, </w:t>
      </w:r>
      <w:r>
        <w:rPr>
          <w:shd w:val="clear" w:color="auto" w:fill="FFFFFF"/>
        </w:rPr>
        <w:t xml:space="preserve">or other laws of general application relating to or affecting the enforcement of creditors’ rights generally and general principles of </w:t>
      </w:r>
      <w:r>
        <w:rPr>
          <w:shd w:val="clear" w:color="auto" w:fill="FFFFFF"/>
        </w:rPr>
        <w:t xml:space="preserve">equity. To </w:t>
      </w:r>
      <w:r>
        <w:rPr>
          <w:shd w:val="clear" w:color="auto" w:fill="FFFFFF"/>
        </w:rPr>
        <w:t xml:space="preserve">the knowledge of the </w:t>
      </w:r>
      <w:r>
        <w:rPr>
          <w:shd w:val="clear" w:color="auto" w:fill="FFFFFF"/>
        </w:rPr>
        <w:t xml:space="preserve">Company, </w:t>
      </w:r>
      <w:r>
        <w:rPr>
          <w:shd w:val="clear" w:color="auto" w:fill="FFFFFF"/>
        </w:rPr>
        <w:t>it is not in violatio</w:t>
      </w:r>
      <w:r>
        <w:rPr>
          <w:shd w:val="clear" w:color="auto" w:fill="FFFFFF"/>
        </w:rPr>
        <w:t>n of (</w:t>
      </w:r>
      <w:proofErr w:type="spellStart"/>
      <w:r>
        <w:rPr>
          <w:shd w:val="clear" w:color="auto" w:fill="FFFFFF"/>
        </w:rPr>
        <w:t>i</w:t>
      </w:r>
      <w:proofErr w:type="spellEnd"/>
      <w:r>
        <w:rPr>
          <w:shd w:val="clear" w:color="auto" w:fill="FFFFFF"/>
        </w:rPr>
        <w:t xml:space="preserve">) its current articles of incorporation or bylaws, (ii) any material statute, rule or regulation applicable to the </w:t>
      </w:r>
      <w:r>
        <w:rPr>
          <w:shd w:val="clear" w:color="auto" w:fill="FFFFFF"/>
        </w:rPr>
        <w:t xml:space="preserve">Company, </w:t>
      </w:r>
      <w:r>
        <w:rPr>
          <w:shd w:val="clear" w:color="auto" w:fill="FFFFFF"/>
        </w:rPr>
        <w:t>or (iii) any material indenture or contract to which the Company is a party or by which it is bound, where, in each case, suc</w:t>
      </w:r>
      <w:r>
        <w:rPr>
          <w:shd w:val="clear" w:color="auto" w:fill="FFFFFF"/>
        </w:rPr>
        <w:t xml:space="preserve">h violation or default, </w:t>
      </w:r>
      <w:r>
        <w:rPr>
          <w:shd w:val="clear" w:color="auto" w:fill="FFFFFF"/>
        </w:rPr>
        <w:t xml:space="preserve">individually, </w:t>
      </w:r>
      <w:r>
        <w:rPr>
          <w:shd w:val="clear" w:color="auto" w:fill="FFFFFF"/>
        </w:rPr>
        <w:t>or together with all such violations or defaults, could reasonably be expected to have a material adverse effect on the</w:t>
      </w:r>
      <w:r>
        <w:rPr>
          <w:shd w:val="clear" w:color="auto" w:fill="FFFFFF"/>
        </w:rPr>
        <w:t xml:space="preserv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 xml:space="preserve">To </w:t>
      </w:r>
      <w:r>
        <w:rPr>
          <w:shd w:val="clear" w:color="auto" w:fill="FFFFFF"/>
        </w:rPr>
        <w:t xml:space="preserve">the knowledge of the </w:t>
      </w:r>
      <w:r>
        <w:rPr>
          <w:shd w:val="clear" w:color="auto" w:fill="FFFFFF"/>
        </w:rPr>
        <w:t xml:space="preserve">Company, </w:t>
      </w:r>
      <w:r>
        <w:rPr>
          <w:shd w:val="clear" w:color="auto" w:fill="FFFFFF"/>
        </w:rPr>
        <w:t>the performance and consummation of the transactions co</w:t>
      </w:r>
      <w:r>
        <w:rPr>
          <w:shd w:val="clear" w:color="auto" w:fill="FFFFFF"/>
        </w:rPr>
        <w:t>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w:t>
      </w:r>
      <w:r>
        <w:rPr>
          <w:shd w:val="clear" w:color="auto" w:fill="FFFFFF"/>
        </w:rPr>
        <w:t xml:space="preserve">t is bound; or (iii) result in the creation or imposition of any lien upon any </w:t>
      </w:r>
      <w:r>
        <w:rPr>
          <w:shd w:val="clear" w:color="auto" w:fill="FFFFFF"/>
        </w:rPr>
        <w:t xml:space="preserve">property, </w:t>
      </w:r>
      <w:r>
        <w:rPr>
          <w:shd w:val="clear" w:color="auto" w:fill="FFFFFF"/>
        </w:rPr>
        <w:t xml:space="preserve">asset or revenue of the Company or the suspension, forfeiture, or nonrenewal of any material permit, license or authorization applicable to the </w:t>
      </w:r>
      <w:r>
        <w:rPr>
          <w:shd w:val="clear" w:color="auto" w:fill="FFFFFF"/>
        </w:rPr>
        <w:t xml:space="preserve">Company, </w:t>
      </w:r>
      <w:r>
        <w:rPr>
          <w:shd w:val="clear" w:color="auto" w:fill="FFFFFF"/>
        </w:rPr>
        <w:t>its business o</w:t>
      </w:r>
      <w:r>
        <w:rPr>
          <w:shd w:val="clear" w:color="auto" w:fill="FFFFFF"/>
        </w:rPr>
        <w:t>r</w:t>
      </w:r>
      <w:r>
        <w:rPr>
          <w:shd w:val="clear" w:color="auto" w:fill="FFFFFF"/>
        </w:rPr>
        <w:t xml:space="preserve"> </w:t>
      </w:r>
      <w:r>
        <w:rPr>
          <w:shd w:val="clear" w:color="auto" w:fill="FFFFFF"/>
        </w:rPr>
        <w:t>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w:t>
      </w:r>
      <w:r>
        <w:rPr>
          <w:shd w:val="clear" w:color="auto" w:fill="FFFFFF"/>
        </w:rPr>
        <w:t xml:space="preserve"> </w:t>
      </w:r>
      <w:r>
        <w:rPr>
          <w:shd w:val="clear" w:color="auto" w:fill="FFFFFF"/>
        </w:rPr>
        <w:t>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w:t>
      </w:r>
      <w:r>
        <w:rPr>
          <w:shd w:val="clear" w:color="auto" w:fill="FFFFFF"/>
        </w:rPr>
        <w:t xml:space="preserve">its </w:t>
      </w:r>
      <w:r>
        <w:rPr>
          <w:shd w:val="clear" w:color="auto" w:fill="FFFFFF"/>
        </w:rPr>
        <w:t>knowledge, the Company owns or possesses (or can obtain on commercially reasonable terms) sufficient legal rights to all patents, trademarks, service marks, trade names, copyrights, trade secrets, licenses, information, processes, and other intellectual pr</w:t>
      </w:r>
      <w:r>
        <w:rPr>
          <w:shd w:val="clear" w:color="auto" w:fill="FFFFFF"/>
        </w:rPr>
        <w:t>operty rights necessary for its business as now conducted and as currently proposed to be conducted, without an infringement of the rights of others. ___ is not a proprietary trade name of the</w:t>
      </w:r>
      <w:r>
        <w:rPr>
          <w:shd w:val="clear" w:color="auto" w:fill="FFFFFF"/>
        </w:rPr>
        <w:t xml:space="preserv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w:t>
      </w:r>
      <w:r>
        <w:rPr>
          <w:shd w:val="clear" w:color="auto" w:fill="FFFFFF"/>
        </w:rPr>
        <w:t xml:space="preserve"> </w:t>
      </w:r>
      <w:r>
        <w:rPr>
          <w:shd w:val="clear" w:color="auto" w:fill="FFFFFF"/>
        </w:rPr>
        <w:t>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 xml:space="preserve">The Purchaser has full </w:t>
      </w:r>
      <w:r>
        <w:rPr>
          <w:shd w:val="clear" w:color="auto" w:fill="FFFFFF"/>
        </w:rPr>
        <w:t xml:space="preserve">legal </w:t>
      </w:r>
      <w:r>
        <w:rPr>
          <w:shd w:val="clear" w:color="auto" w:fill="FFFFFF"/>
        </w:rPr>
        <w:t xml:space="preserve">capacity, power, </w:t>
      </w:r>
      <w:r>
        <w:rPr>
          <w:shd w:val="clear" w:color="auto" w:fill="FFFFFF"/>
        </w:rPr>
        <w:t xml:space="preserve">and authority to execute and deliver this instrument and to perform its obligations </w:t>
      </w:r>
      <w:r>
        <w:rPr>
          <w:shd w:val="clear" w:color="auto" w:fill="FFFFFF"/>
        </w:rPr>
        <w:t xml:space="preserve">hereunder. </w:t>
      </w:r>
      <w:r>
        <w:rPr>
          <w:shd w:val="clear" w:color="auto" w:fill="FFFFFF"/>
        </w:rPr>
        <w:t xml:space="preserve">This instrument constitutes a valid and binding obligation of the </w:t>
      </w:r>
      <w:r>
        <w:rPr>
          <w:shd w:val="clear" w:color="auto" w:fill="FFFFFF"/>
        </w:rPr>
        <w:t xml:space="preserve">Purchaser, </w:t>
      </w:r>
      <w:r>
        <w:rPr>
          <w:shd w:val="clear" w:color="auto" w:fill="FFFFFF"/>
        </w:rPr>
        <w:t xml:space="preserve">enforceable per its terms, except as limited by </w:t>
      </w:r>
      <w:r>
        <w:rPr>
          <w:shd w:val="clear" w:color="auto" w:fill="FFFFFF"/>
        </w:rPr>
        <w:t xml:space="preserve">bankruptcy, insolvency, </w:t>
      </w:r>
      <w:r>
        <w:rPr>
          <w:shd w:val="clear" w:color="auto" w:fill="FFFFFF"/>
        </w:rPr>
        <w:t>or other laws of general application relating to or affecting the enforcement of creditors’ rights generally and general principles of</w:t>
      </w:r>
      <w:r>
        <w:rPr>
          <w:shd w:val="clear" w:color="auto" w:fill="FFFFFF"/>
        </w:rPr>
        <w:t xml:space="preserve">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w:t>
      </w:r>
      <w:r>
        <w:rPr>
          <w:shd w:val="clear" w:color="auto" w:fill="FFFFFF"/>
        </w:rPr>
        <w:t>d sales of this instrument have not been registered under any country’s securities laws and, therefore, cannot be resold except in compliance with the applicable country’s laws. The Purchaser is purchasing this instrument for its account for investment, no</w:t>
      </w:r>
      <w:r>
        <w:rPr>
          <w:shd w:val="clear" w:color="auto" w:fill="FFFFFF"/>
        </w:rPr>
        <w:t>t as a nominee or agent, and not with a view to, or for resale in connection with, the distribution thereof, and the Purchaser has no present intention of selling, granting any participation in, or otherwise distributing the same. The Purchaser has such kn</w:t>
      </w:r>
      <w:r>
        <w:rPr>
          <w:shd w:val="clear" w:color="auto" w:fill="FFFFFF"/>
        </w:rPr>
        <w:t>owledge and experience in financial and business matters that the Purchaser is capable of evaluating the merits and risks of such investment, can incur a complete loss of such investment without impairing the Purchaser’s financial condition, and can bear t</w:t>
      </w:r>
      <w:r>
        <w:rPr>
          <w:shd w:val="clear" w:color="auto" w:fill="FFFFFF"/>
        </w:rPr>
        <w:t>he economic risk of such investment for an indefinite</w:t>
      </w:r>
      <w:r>
        <w:rPr>
          <w:shd w:val="clear" w:color="auto" w:fill="FFFFFF"/>
        </w:rPr>
        <w:t xml:space="preserve"> </w:t>
      </w:r>
      <w:r>
        <w:rPr>
          <w:shd w:val="clear" w:color="auto" w:fill="FFFFFF"/>
        </w:rPr>
        <w:t>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w:t>
      </w:r>
      <w:r>
        <w:rPr>
          <w:shd w:val="clear" w:color="auto" w:fill="FFFFFF"/>
        </w:rPr>
        <w:t xml:space="preserve"> </w:t>
      </w:r>
      <w:r>
        <w:rPr>
          <w:shd w:val="clear" w:color="auto" w:fill="FFFFFF"/>
        </w:rPr>
        <w:t>arising</w:t>
      </w:r>
      <w:r>
        <w:rPr>
          <w:shd w:val="clear" w:color="auto" w:fill="FFFFFF"/>
        </w:rPr>
        <w:t xml:space="preserve"> </w:t>
      </w:r>
      <w:r>
        <w:rPr>
          <w:shd w:val="clear" w:color="auto" w:fill="FFFFFF"/>
        </w:rPr>
        <w:t>from</w:t>
      </w:r>
      <w:r>
        <w:rPr>
          <w:shd w:val="clear" w:color="auto" w:fill="FFFFFF"/>
        </w:rPr>
        <w:t xml:space="preserve"> </w:t>
      </w:r>
      <w:r>
        <w:rPr>
          <w:shd w:val="clear" w:color="auto" w:fill="FFFFFF"/>
        </w:rPr>
        <w:t>the</w:t>
      </w:r>
      <w:r>
        <w:rPr>
          <w:shd w:val="clear" w:color="auto" w:fill="FFFFFF"/>
        </w:rPr>
        <w:t xml:space="preserve"> </w:t>
      </w:r>
      <w:r>
        <w:rPr>
          <w:shd w:val="clear" w:color="auto" w:fill="FFFFFF"/>
        </w:rPr>
        <w:t>effo</w:t>
      </w:r>
      <w:r>
        <w:rPr>
          <w:shd w:val="clear" w:color="auto" w:fill="FFFFFF"/>
        </w:rPr>
        <w:t>rts</w:t>
      </w:r>
      <w:r>
        <w:rPr>
          <w:shd w:val="clear" w:color="auto" w:fill="FFFFFF"/>
        </w:rPr>
        <w:t xml:space="preserve"> </w:t>
      </w:r>
      <w:r>
        <w:rPr>
          <w:shd w:val="clear" w:color="auto" w:fill="FFFFFF"/>
        </w:rPr>
        <w:t>of</w:t>
      </w:r>
      <w:r>
        <w:rPr>
          <w:shd w:val="clear" w:color="auto" w:fill="FFFFFF"/>
        </w:rPr>
        <w:t xml:space="preserve"> </w:t>
      </w:r>
      <w:r>
        <w:rPr>
          <w:shd w:val="clear" w:color="auto" w:fill="FFFFFF"/>
        </w:rPr>
        <w:t>the</w:t>
      </w:r>
      <w:r>
        <w:rPr>
          <w:shd w:val="clear" w:color="auto" w:fill="FFFFFF"/>
        </w:rPr>
        <w:t xml:space="preserve"> </w:t>
      </w:r>
      <w:r>
        <w:rPr>
          <w:shd w:val="clear" w:color="auto" w:fill="FFFFFF"/>
        </w:rPr>
        <w:t>Company</w:t>
      </w:r>
      <w:r>
        <w:rPr>
          <w:shd w:val="clear" w:color="auto" w:fill="FFFFFF"/>
        </w:rPr>
        <w:t xml:space="preserve"> </w:t>
      </w:r>
      <w:r>
        <w:rPr>
          <w:shd w:val="clear" w:color="auto" w:fill="FFFFFF"/>
        </w:rPr>
        <w:t>and</w:t>
      </w:r>
      <w:r>
        <w:rPr>
          <w:shd w:val="clear" w:color="auto" w:fill="FFFFFF"/>
        </w:rPr>
        <w:t xml:space="preserve"> </w:t>
      </w:r>
      <w:r>
        <w:rPr>
          <w:shd w:val="clear" w:color="auto" w:fill="FFFFFF"/>
        </w:rPr>
        <w:t>its</w:t>
      </w:r>
      <w:r>
        <w:rPr>
          <w:shd w:val="clear" w:color="auto" w:fill="FFFFFF"/>
        </w:rPr>
        <w:t xml:space="preserve"> </w:t>
      </w:r>
      <w:r>
        <w:rPr>
          <w:shd w:val="clear" w:color="auto" w:fill="FFFFFF"/>
        </w:rPr>
        <w:t>employees</w:t>
      </w:r>
      <w:r>
        <w:rPr>
          <w:shd w:val="clear" w:color="auto" w:fill="FFFFFF"/>
        </w:rPr>
        <w:t xml:space="preserve"> </w:t>
      </w:r>
      <w:r>
        <w:rPr>
          <w:shd w:val="clear" w:color="auto" w:fill="FFFFFF"/>
        </w:rPr>
        <w:t>to</w:t>
      </w:r>
      <w:r>
        <w:rPr>
          <w:shd w:val="clear" w:color="auto" w:fill="FFFFFF"/>
        </w:rPr>
        <w:t xml:space="preserve"> </w:t>
      </w:r>
      <w:r>
        <w:rPr>
          <w:shd w:val="clear" w:color="auto" w:fill="FFFFFF"/>
        </w:rPr>
        <w:t>develop</w:t>
      </w:r>
      <w:r>
        <w:rPr>
          <w:shd w:val="clear" w:color="auto" w:fill="FFFFFF"/>
        </w:rPr>
        <w:t xml:space="preserve"> </w:t>
      </w:r>
      <w:r>
        <w:rPr>
          <w:shd w:val="clear" w:color="auto" w:fill="FFFFFF"/>
        </w:rPr>
        <w:t>and</w:t>
      </w:r>
      <w:r>
        <w:rPr>
          <w:shd w:val="clear" w:color="auto" w:fill="FFFFFF"/>
        </w:rPr>
        <w:t xml:space="preserve"> </w:t>
      </w:r>
      <w:r>
        <w:rPr>
          <w:shd w:val="clear" w:color="auto" w:fill="FFFFFF"/>
        </w:rPr>
        <w:t>market</w:t>
      </w:r>
      <w:r>
        <w:rPr>
          <w:shd w:val="clear" w:color="auto" w:fill="FFFFFF"/>
        </w:rPr>
        <w:t xml:space="preserve"> </w:t>
      </w:r>
      <w:r>
        <w:rPr>
          <w:shd w:val="clear" w:color="auto" w:fill="FFFFFF"/>
        </w:rPr>
        <w:t>the [Network] and the [Network Launch] and related sale of the</w:t>
      </w:r>
      <w:r>
        <w:rPr>
          <w:shd w:val="clear" w:color="auto" w:fill="FFFFFF"/>
        </w:rPr>
        <w:t xml:space="preserv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w:t>
      </w:r>
      <w:r>
        <w:rPr>
          <w:shd w:val="clear" w:color="auto" w:fill="FFFFFF"/>
        </w:rPr>
        <w:t xml:space="preserve"> </w:t>
      </w:r>
      <w:r>
        <w:rPr>
          <w:shd w:val="clear" w:color="auto" w:fill="FFFFFF"/>
        </w:rPr>
        <w:t>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 xml:space="preserve">The Company will accept payment for the Right purchased under this SAFT in </w:t>
      </w:r>
      <w:r>
        <w:rPr>
          <w:shd w:val="clear" w:color="auto" w:fill="FFFFFF"/>
        </w:rPr>
        <w:t xml:space="preserve">UST. </w:t>
      </w:r>
      <w:r>
        <w:rPr>
          <w:shd w:val="clear" w:color="auto" w:fill="FFFFFF"/>
        </w:rPr>
        <w:t>Purchaser shall make the required payment to the Company in consideration for Purchaser’s purchase of the Right pursuant to the SAFT through the procedures set forth</w:t>
      </w:r>
      <w:r>
        <w:rPr>
          <w:shd w:val="clear" w:color="auto" w:fill="FFFFFF"/>
        </w:rPr>
        <w:t xml:space="preserve"> </w:t>
      </w:r>
      <w:r>
        <w:rPr>
          <w:shd w:val="clear" w:color="auto" w:fill="FFFFFF"/>
        </w:rPr>
        <w:t>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w:t>
      </w:r>
      <w:r>
        <w:rPr>
          <w:i/>
          <w:iCs/>
          <w:u w:val="thick"/>
          <w:shd w:val="clear" w:color="auto" w:fill="FFFFFF"/>
        </w:rPr>
        <w:t>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 xml:space="preserve">For purposes of this instrument, the value of the Purchase Amount shall be deemed in UST whether the Purchaser pays in </w:t>
      </w:r>
      <w:r>
        <w:rPr>
          <w:shd w:val="clear" w:color="auto" w:fill="FFFFFF"/>
        </w:rPr>
        <w:t xml:space="preserve">UST, </w:t>
      </w:r>
      <w:r>
        <w:rPr>
          <w:shd w:val="clear" w:color="auto" w:fill="FFFFFF"/>
        </w:rPr>
        <w:t>valued at the Applicable Exchange Rate for</w:t>
      </w:r>
      <w:r>
        <w:rPr>
          <w:shd w:val="clear" w:color="auto" w:fill="FFFFFF"/>
        </w:rPr>
        <w:t xml:space="preserve">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w:t>
      </w:r>
      <w:r>
        <w:rPr>
          <w:shd w:val="clear" w:color="auto" w:fill="FFFFFF"/>
        </w:rPr>
        <w:t xml:space="preserve">em. This instrument is one of a series of similar instruments entered into by the Company from time to time. Any provision of this instrument may be amended, waived, or modified only upon the written consent of the Company and the holders of a </w:t>
      </w:r>
      <w:r>
        <w:rPr>
          <w:shd w:val="clear" w:color="auto" w:fill="FFFFFF"/>
        </w:rPr>
        <w:t xml:space="preserve">majority, </w:t>
      </w:r>
      <w:r>
        <w:rPr>
          <w:shd w:val="clear" w:color="auto" w:fill="FFFFFF"/>
        </w:rPr>
        <w:t>in</w:t>
      </w:r>
      <w:r>
        <w:rPr>
          <w:shd w:val="clear" w:color="auto" w:fill="FFFFFF"/>
        </w:rPr>
        <w:t xml:space="preserve"> the aggregate, of the Purchase Amounts paid to the Company with respect to all </w:t>
      </w:r>
      <w:r>
        <w:rPr>
          <w:shd w:val="clear" w:color="auto" w:fill="FFFFFF"/>
        </w:rPr>
        <w:t xml:space="preserve">SAFTs </w:t>
      </w:r>
      <w:r>
        <w:rPr>
          <w:shd w:val="clear" w:color="auto" w:fill="FFFFFF"/>
        </w:rPr>
        <w:t>outstanding at the time of such amendment, waiver or</w:t>
      </w:r>
      <w:r>
        <w:rPr>
          <w:shd w:val="clear" w:color="auto" w:fill="FFFFFF"/>
        </w:rPr>
        <w:t xml:space="preserve"> </w:t>
      </w:r>
      <w:r>
        <w:rPr>
          <w:shd w:val="clear" w:color="auto" w:fill="FFFFFF"/>
        </w:rPr>
        <w:t>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 xml:space="preserve">Any notice required or permitted by this instrument will be deemed sufficient when sent </w:t>
      </w:r>
      <w:r>
        <w:rPr>
          <w:shd w:val="clear" w:color="auto" w:fill="FFFFFF"/>
        </w:rPr>
        <w:t>by email to the relevant address listed on the signature page, as subsequently modified by written notice received by the appropriate</w:t>
      </w:r>
      <w:r>
        <w:rPr>
          <w:shd w:val="clear" w:color="auto" w:fill="FFFFFF"/>
        </w:rPr>
        <w:t xml:space="preserv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 xml:space="preserve">The Purchaser is not entitled, as a holder of this instrument, to vote or receive dividends or be deemed the holder of capital stock of the Company for any purpose, nor will anything contained herein be construed to confer on the </w:t>
      </w:r>
      <w:r>
        <w:rPr>
          <w:shd w:val="clear" w:color="auto" w:fill="FFFFFF"/>
        </w:rPr>
        <w:t xml:space="preserve">Purchaser, </w:t>
      </w:r>
      <w:r>
        <w:rPr>
          <w:shd w:val="clear" w:color="auto" w:fill="FFFFFF"/>
        </w:rPr>
        <w:t>as such, any of</w:t>
      </w:r>
      <w:r>
        <w:rPr>
          <w:shd w:val="clear" w:color="auto" w:fill="FFFFFF"/>
        </w:rPr>
        <w:t xml:space="preserve"> the rights of a stockholder of the Company or any right to vote for the election of directors or upon any matter submitted to stockholders at any meeting thereof, or to give or withhold consent to any corporate action or to receive notice of meetings, or </w:t>
      </w:r>
      <w:r>
        <w:rPr>
          <w:shd w:val="clear" w:color="auto" w:fill="FFFFFF"/>
        </w:rPr>
        <w:t>to receive subscription rights or</w:t>
      </w:r>
      <w:r>
        <w:rPr>
          <w:shd w:val="clear" w:color="auto" w:fill="FFFFFF"/>
        </w:rPr>
        <w:t xml:space="preserve"> </w:t>
      </w:r>
      <w:r>
        <w:rPr>
          <w:shd w:val="clear" w:color="auto" w:fill="FFFFFF"/>
        </w:rPr>
        <w:t>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that this instrument</w:t>
      </w:r>
      <w:r>
        <w:rPr>
          <w:shd w:val="clear" w:color="auto" w:fill="FFFFFF"/>
        </w:rPr>
        <w:t xml:space="preserve"> and/or the rights contained herein may be assigned without the Company’s consent by the Purchaser to any other entity who directly or  </w:t>
      </w:r>
      <w:r>
        <w:rPr>
          <w:shd w:val="clear" w:color="auto" w:fill="FFFFFF"/>
        </w:rPr>
        <w:t xml:space="preserve">indirectly, </w:t>
      </w:r>
      <w:r>
        <w:rPr>
          <w:shd w:val="clear" w:color="auto" w:fill="FFFFFF"/>
        </w:rPr>
        <w:t xml:space="preserve">controls, is controlled by or is under common control with the </w:t>
      </w:r>
      <w:r>
        <w:rPr>
          <w:shd w:val="clear" w:color="auto" w:fill="FFFFFF"/>
        </w:rPr>
        <w:t xml:space="preserve">Purchaser, </w:t>
      </w:r>
      <w:r>
        <w:rPr>
          <w:shd w:val="clear" w:color="auto" w:fill="FFFFFF"/>
        </w:rPr>
        <w:t>including, without limitation, any</w:t>
      </w:r>
      <w:r>
        <w:rPr>
          <w:shd w:val="clear" w:color="auto" w:fill="FFFFFF"/>
        </w:rPr>
        <w:t xml:space="preserve"> general </w:t>
      </w:r>
      <w:r>
        <w:rPr>
          <w:shd w:val="clear" w:color="auto" w:fill="FFFFFF"/>
        </w:rPr>
        <w:t xml:space="preserve">partner, </w:t>
      </w:r>
      <w:r>
        <w:rPr>
          <w:shd w:val="clear" w:color="auto" w:fill="FFFFFF"/>
        </w:rPr>
        <w:t xml:space="preserve">managing </w:t>
      </w:r>
      <w:r>
        <w:rPr>
          <w:shd w:val="clear" w:color="auto" w:fill="FFFFFF"/>
        </w:rPr>
        <w:t xml:space="preserve">member, </w:t>
      </w:r>
      <w:r>
        <w:rPr>
          <w:shd w:val="clear" w:color="auto" w:fill="FFFFFF"/>
        </w:rPr>
        <w:t xml:space="preserve">officer or director of the </w:t>
      </w:r>
      <w:r>
        <w:rPr>
          <w:shd w:val="clear" w:color="auto" w:fill="FFFFFF"/>
        </w:rPr>
        <w:t xml:space="preserve">Purchaser, </w:t>
      </w:r>
      <w:r>
        <w:rPr>
          <w:shd w:val="clear" w:color="auto" w:fill="FFFFFF"/>
        </w:rPr>
        <w:t>or any venture capital fund now or hereafter existing which is controlled by one or more general partners or managing members of, or shares the same management company with, the Purch</w:t>
      </w:r>
      <w:r>
        <w:rPr>
          <w:shd w:val="clear" w:color="auto" w:fill="FFFFFF"/>
        </w:rPr>
        <w:t xml:space="preserve">aser; and </w:t>
      </w:r>
      <w:r>
        <w:rPr>
          <w:i/>
          <w:iCs/>
          <w:shd w:val="clear" w:color="auto" w:fill="FFFFFF"/>
        </w:rPr>
        <w:t>provided, further</w:t>
      </w:r>
      <w:r>
        <w:rPr>
          <w:shd w:val="clear" w:color="auto" w:fill="FFFFFF"/>
        </w:rPr>
        <w:t xml:space="preserve">, that the Company may assign this instrument in whole, without the consent of the </w:t>
      </w:r>
      <w:r>
        <w:rPr>
          <w:shd w:val="clear" w:color="auto" w:fill="FFFFFF"/>
        </w:rPr>
        <w:t xml:space="preserve">Purchaser, </w:t>
      </w:r>
      <w:r>
        <w:rPr>
          <w:shd w:val="clear" w:color="auto" w:fill="FFFFFF"/>
        </w:rPr>
        <w:t>in connection with a reincorporation to change the Company’s</w:t>
      </w:r>
      <w:r>
        <w:rPr>
          <w:shd w:val="clear" w:color="auto" w:fill="FFFFFF"/>
        </w:rPr>
        <w:t xml:space="preserve"> </w:t>
      </w:r>
      <w:r>
        <w:rPr>
          <w:shd w:val="clear" w:color="auto" w:fill="FFFFFF"/>
        </w:rPr>
        <w:t>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w:t>
      </w:r>
      <w:r>
        <w:rPr>
          <w:shd w:val="clear" w:color="auto" w:fill="FFFFFF"/>
        </w:rPr>
        <w:t xml:space="preserve"> </w:t>
      </w:r>
      <w:r>
        <w:rPr>
          <w:shd w:val="clear" w:color="auto" w:fill="FFFFFF"/>
        </w:rPr>
        <w:t>the</w:t>
      </w:r>
      <w:r>
        <w:rPr>
          <w:shd w:val="clear" w:color="auto" w:fill="FFFFFF"/>
        </w:rPr>
        <w:t xml:space="preserve"> </w:t>
      </w:r>
      <w:r>
        <w:rPr>
          <w:shd w:val="clear" w:color="auto" w:fill="FFFFFF"/>
        </w:rPr>
        <w:t>event</w:t>
      </w:r>
      <w:r>
        <w:rPr>
          <w:shd w:val="clear" w:color="auto" w:fill="FFFFFF"/>
        </w:rPr>
        <w:t xml:space="preserve"> </w:t>
      </w:r>
      <w:r>
        <w:rPr>
          <w:shd w:val="clear" w:color="auto" w:fill="FFFFFF"/>
        </w:rPr>
        <w:t>any</w:t>
      </w:r>
      <w:r>
        <w:rPr>
          <w:shd w:val="clear" w:color="auto" w:fill="FFFFFF"/>
        </w:rPr>
        <w:t xml:space="preserve"> </w:t>
      </w:r>
      <w:r>
        <w:rPr>
          <w:shd w:val="clear" w:color="auto" w:fill="FFFFFF"/>
        </w:rPr>
        <w:t>one</w:t>
      </w:r>
      <w:r>
        <w:rPr>
          <w:shd w:val="clear" w:color="auto" w:fill="FFFFFF"/>
        </w:rPr>
        <w:t xml:space="preserve"> </w:t>
      </w:r>
      <w:r>
        <w:rPr>
          <w:shd w:val="clear" w:color="auto" w:fill="FFFFFF"/>
        </w:rPr>
        <w:t>or</w:t>
      </w:r>
      <w:r>
        <w:rPr>
          <w:shd w:val="clear" w:color="auto" w:fill="FFFFFF"/>
        </w:rPr>
        <w:t xml:space="preserve"> </w:t>
      </w:r>
      <w:r>
        <w:rPr>
          <w:shd w:val="clear" w:color="auto" w:fill="FFFFFF"/>
        </w:rPr>
        <w:t>more</w:t>
      </w:r>
      <w:r>
        <w:rPr>
          <w:shd w:val="clear" w:color="auto" w:fill="FFFFFF"/>
        </w:rPr>
        <w:t xml:space="preserve"> </w:t>
      </w:r>
      <w:r>
        <w:rPr>
          <w:shd w:val="clear" w:color="auto" w:fill="FFFFFF"/>
        </w:rPr>
        <w:t>of</w:t>
      </w:r>
      <w:r>
        <w:rPr>
          <w:shd w:val="clear" w:color="auto" w:fill="FFFFFF"/>
        </w:rPr>
        <w:t xml:space="preserve"> </w:t>
      </w:r>
      <w:r>
        <w:rPr>
          <w:shd w:val="clear" w:color="auto" w:fill="FFFFFF"/>
        </w:rPr>
        <w:t>the</w:t>
      </w:r>
      <w:r>
        <w:rPr>
          <w:shd w:val="clear" w:color="auto" w:fill="FFFFFF"/>
        </w:rPr>
        <w:t xml:space="preserve"> </w:t>
      </w:r>
      <w:r>
        <w:rPr>
          <w:shd w:val="clear" w:color="auto" w:fill="FFFFFF"/>
        </w:rPr>
        <w:t>provisions</w:t>
      </w:r>
      <w:r>
        <w:rPr>
          <w:shd w:val="clear" w:color="auto" w:fill="FFFFFF"/>
        </w:rPr>
        <w:t xml:space="preserve"> </w:t>
      </w:r>
      <w:r>
        <w:rPr>
          <w:shd w:val="clear" w:color="auto" w:fill="FFFFFF"/>
        </w:rPr>
        <w:t>of</w:t>
      </w:r>
      <w:r>
        <w:rPr>
          <w:shd w:val="clear" w:color="auto" w:fill="FFFFFF"/>
        </w:rPr>
        <w:t xml:space="preserve"> </w:t>
      </w:r>
      <w:r>
        <w:rPr>
          <w:shd w:val="clear" w:color="auto" w:fill="FFFFFF"/>
        </w:rPr>
        <w:t>this</w:t>
      </w:r>
      <w:r>
        <w:rPr>
          <w:shd w:val="clear" w:color="auto" w:fill="FFFFFF"/>
        </w:rPr>
        <w:t xml:space="preserve"> </w:t>
      </w:r>
      <w:r>
        <w:rPr>
          <w:shd w:val="clear" w:color="auto" w:fill="FFFFFF"/>
        </w:rPr>
        <w:t>instrume</w:t>
      </w:r>
      <w:r>
        <w:rPr>
          <w:shd w:val="clear" w:color="auto" w:fill="FFFFFF"/>
        </w:rPr>
        <w:t>nt</w:t>
      </w:r>
      <w:r>
        <w:rPr>
          <w:shd w:val="clear" w:color="auto" w:fill="FFFFFF"/>
        </w:rPr>
        <w:t xml:space="preserve"> </w:t>
      </w:r>
      <w:r>
        <w:rPr>
          <w:shd w:val="clear" w:color="auto" w:fill="FFFFFF"/>
        </w:rPr>
        <w:t>is</w:t>
      </w:r>
      <w:r>
        <w:rPr>
          <w:shd w:val="clear" w:color="auto" w:fill="FFFFFF"/>
        </w:rPr>
        <w:t xml:space="preserve"> </w:t>
      </w:r>
      <w:r>
        <w:rPr>
          <w:shd w:val="clear" w:color="auto" w:fill="FFFFFF"/>
        </w:rPr>
        <w:t>for</w:t>
      </w:r>
      <w:r>
        <w:rPr>
          <w:shd w:val="clear" w:color="auto" w:fill="FFFFFF"/>
        </w:rPr>
        <w:t xml:space="preserve"> </w:t>
      </w:r>
      <w:r>
        <w:rPr>
          <w:shd w:val="clear" w:color="auto" w:fill="FFFFFF"/>
        </w:rPr>
        <w:t>any</w:t>
      </w:r>
      <w:r>
        <w:rPr>
          <w:shd w:val="clear" w:color="auto" w:fill="FFFFFF"/>
        </w:rPr>
        <w:t xml:space="preserve"> </w:t>
      </w:r>
      <w:r>
        <w:rPr>
          <w:shd w:val="clear" w:color="auto" w:fill="FFFFFF"/>
        </w:rPr>
        <w:t>reason held to be invalid, illegal or unenforceable, in whole or in part or any respect, or in the event that any one or more of the provisions of this instrument operates or would prospectively operate to invalidate this instrument, then and</w:t>
      </w:r>
      <w:r>
        <w:rPr>
          <w:shd w:val="clear" w:color="auto" w:fill="FFFFFF"/>
        </w:rPr>
        <w:t xml:space="preserve"> in any such event, such provision(s) only will be deemed null and void and will not affect any other provision of this instrument and the remaining provisions of this instrument will remain operative and in full force and effect and will not be affected, </w:t>
      </w:r>
      <w:r>
        <w:rPr>
          <w:shd w:val="clear" w:color="auto" w:fill="FFFFFF"/>
        </w:rPr>
        <w:t>prejudiced, or disturbed</w:t>
      </w:r>
      <w:r>
        <w:rPr>
          <w:shd w:val="clear" w:color="auto" w:fill="FFFFFF"/>
        </w:rPr>
        <w:t xml:space="preserve">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____without regard to the conflicts of law provisions of such</w:t>
      </w:r>
      <w:r>
        <w:rPr>
          <w:shd w:val="clear" w:color="auto" w:fill="FFFFFF"/>
        </w:rPr>
        <w:t xml:space="preserve"> </w:t>
      </w:r>
      <w:r>
        <w:rPr>
          <w:shd w:val="clear" w:color="auto" w:fill="FFFFFF"/>
        </w:rPr>
        <w:t>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w:t>
      </w:r>
      <w:r>
        <w:rPr>
          <w:i/>
          <w:iCs/>
          <w:shd w:val="clear" w:color="auto" w:fill="FFFFFF"/>
        </w:rPr>
        <w:t>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 xml:space="preserve">IN WITNESS </w:t>
      </w:r>
      <w:r>
        <w:rPr>
          <w:shd w:val="clear" w:color="auto" w:fill="FFFFFF"/>
        </w:rPr>
        <w:t>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[______]</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D464F4">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r>
        <w:rPr>
          <w:shd w:val="clear" w:color="auto" w:fill="FFFFFF"/>
        </w:rPr>
        <w:br/>
      </w:r>
      <w:r>
        <w:rPr>
          <w:rFonts w:ascii="Times New Roman" w:hAnsi="Times New Roman"/>
          <w:shd w:val="clear" w:color="auto" w:fill="FFFFFF"/>
        </w:rPr>
        <w:t>—————</w:t>
      </w:r>
      <w:r>
        <w:rPr>
          <w:rFonts w:ascii="Times New Roman" w:hAnsi="Times New Roman"/>
          <w:shd w:val="clear" w:color="auto" w:fill="FFFFFF"/>
        </w:rPr>
        <w:t>-</w:t>
      </w:r>
    </w:p>
    <w:p w:rsidR="00BC2EE8" w:rsidRDefault="00D464F4">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p>
    <w:p w:rsidR="00BC2EE8" w:rsidRDefault="00D464F4">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r>
        <w:rPr>
          <w:shd w:val="clear" w:color="auto" w:fill="FFFFFF"/>
        </w:rPr>
        <w:t xml:space="preserve">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D464F4">
      <w:pPr>
        <w:pStyle w:val="BodyText"/>
        <w:spacing w:before="93" w:line="468" w:lineRule="auto"/>
        <w:ind w:left="5140" w:right="3432"/>
      </w:pPr>
      <w:r>
        <w:rPr>
          <w:shd w:val="clear" w:color="auto" w:fill="FFFFFF"/>
        </w:rPr>
        <w:t>Name: Title: Email:</w:t>
      </w:r>
      <w:r>
        <w:rPr>
          <w:rFonts w:ascii="Arial Unicode MS" w:eastAsia="Arial Unicode MS" w:hAnsi="Arial Unicode MS" w:cs="Arial Unicode MS"/>
          <w:shd w:val="clear" w:color="auto" w:fill="FFFFFF"/>
        </w:rPr>
        <w:br w:type="page"/>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F4" w:rsidRDefault="00D464F4">
      <w:r>
        <w:separator/>
      </w:r>
    </w:p>
  </w:endnote>
  <w:endnote w:type="continuationSeparator" w:id="0">
    <w:p w:rsidR="00D464F4" w:rsidRDefault="00D4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F4" w:rsidRDefault="00D464F4">
      <w:r>
        <w:separator/>
      </w:r>
    </w:p>
  </w:footnote>
  <w:footnote w:type="continuationSeparator" w:id="0">
    <w:p w:rsidR="00D464F4" w:rsidRDefault="00D46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p w:rsidR="00BC2EE8" w:rsidRDefault="00BC2EE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DAE2BB58">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F2ED0E">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BEFCF6">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80944A">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7D4D1A2">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EE90CE">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CA47EA">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825150">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72B522">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DAE2BB58">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F2ED0E">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BEFCF6">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80944A">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7D4D1A2">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EE90CE">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CA47EA">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825150">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72B522">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52FCF230">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A104951C">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704F03E">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922B5C">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0DADDA0">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472954E">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1837FA">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C621FC">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7EDF9C">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A104951C">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704F03E">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922B5C">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0DADDA0">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472954E">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1837FA">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C621FC">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7EDF9C">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BC2EE8"/>
    <w:rsid w:val="00C04BB2"/>
    <w:rsid w:val="00D4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2</cp:revision>
  <dcterms:created xsi:type="dcterms:W3CDTF">2022-02-02T21:34:00Z</dcterms:created>
  <dcterms:modified xsi:type="dcterms:W3CDTF">2022-02-02T21:36:00Z</dcterms:modified>
</cp:coreProperties>
</file>