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2781C" w14:textId="22CFEFB1" w:rsidR="00AE4980" w:rsidRPr="00E95435" w:rsidRDefault="00AE4980" w:rsidP="00AE4980">
      <w:pPr>
        <w:pStyle w:val="MDPI31text"/>
        <w:spacing w:line="240" w:lineRule="auto"/>
        <w:ind w:left="0"/>
        <w:rPr>
          <w:rFonts w:ascii="Times New Roman" w:hAnsi="Times New Roman"/>
          <w:iCs/>
        </w:rPr>
      </w:pPr>
      <w:r w:rsidRPr="00E95435">
        <w:rPr>
          <w:rFonts w:ascii="Times New Roman" w:hAnsi="Times New Roman"/>
          <w:iCs/>
        </w:rPr>
        <w:t xml:space="preserve">The </w:t>
      </w:r>
      <w:r w:rsidRPr="00E95435">
        <w:rPr>
          <w:rFonts w:ascii="Times New Roman" w:eastAsia="宋体" w:hAnsi="Times New Roman"/>
          <w:iCs/>
          <w:lang w:eastAsia="zh-CN"/>
        </w:rPr>
        <w:t>Petri</w:t>
      </w:r>
      <w:r w:rsidRPr="00E95435">
        <w:rPr>
          <w:rFonts w:ascii="Times New Roman" w:hAnsi="Times New Roman"/>
          <w:iCs/>
        </w:rPr>
        <w:t xml:space="preserve"> net is manually created, denoted by </w:t>
      </w:r>
      <w:r w:rsidRPr="00E95435">
        <w:rPr>
          <w:rFonts w:ascii="Times New Roman" w:hAnsi="Times New Roman"/>
          <w:i/>
          <w:iCs/>
        </w:rPr>
        <w:t>N</w:t>
      </w:r>
      <w:r w:rsidRPr="00E95435">
        <w:rPr>
          <w:rFonts w:ascii="Times New Roman" w:hAnsi="Times New Roman"/>
          <w:iCs/>
          <w:vertAlign w:val="subscript"/>
        </w:rPr>
        <w:t>d</w:t>
      </w:r>
      <w:r w:rsidRPr="00E95435">
        <w:rPr>
          <w:rFonts w:ascii="Times New Roman" w:hAnsi="Times New Roman"/>
          <w:iCs/>
        </w:rPr>
        <w:t xml:space="preserve">. The clinical process model is shown in </w:t>
      </w:r>
      <w:r w:rsidRPr="000C47AB">
        <w:rPr>
          <w:rFonts w:ascii="Times New Roman" w:hAnsi="Times New Roman"/>
          <w:iCs/>
          <w:color w:val="auto"/>
        </w:rPr>
        <w:t xml:space="preserve">Figure </w:t>
      </w:r>
      <w:r w:rsidRPr="000C47AB">
        <w:rPr>
          <w:rFonts w:ascii="Times New Roman" w:eastAsiaTheme="minorEastAsia" w:hAnsi="Times New Roman" w:hint="eastAsia"/>
          <w:iCs/>
          <w:color w:val="auto"/>
          <w:lang w:eastAsia="zh-CN"/>
        </w:rPr>
        <w:t>A.1</w:t>
      </w:r>
      <w:r w:rsidRPr="000C47AB">
        <w:rPr>
          <w:rFonts w:ascii="Times New Roman" w:hAnsi="Times New Roman"/>
          <w:iCs/>
          <w:color w:val="auto"/>
        </w:rPr>
        <w:t xml:space="preserve">. </w:t>
      </w:r>
      <w:r w:rsidRPr="00E95435">
        <w:rPr>
          <w:rFonts w:ascii="Times New Roman" w:hAnsi="Times New Roman"/>
          <w:iCs/>
        </w:rPr>
        <w:t xml:space="preserve">Choice, Sequential, and parallel structures are all included in the net. 49 transitions, 52 places, and 116 arcs in the </w:t>
      </w:r>
      <w:r w:rsidRPr="00E95435">
        <w:rPr>
          <w:rFonts w:ascii="Times New Roman" w:eastAsia="宋体" w:hAnsi="Times New Roman"/>
          <w:iCs/>
          <w:lang w:eastAsia="zh-CN"/>
        </w:rPr>
        <w:t>Petri</w:t>
      </w:r>
      <w:r w:rsidRPr="00E95435">
        <w:rPr>
          <w:rFonts w:ascii="Times New Roman" w:hAnsi="Times New Roman"/>
          <w:iCs/>
        </w:rPr>
        <w:t xml:space="preserve"> net. Each transition is associated with an activity within the medical process. Table </w:t>
      </w:r>
      <w:r w:rsidRPr="000C47AB">
        <w:rPr>
          <w:rFonts w:ascii="Times New Roman" w:eastAsiaTheme="minorEastAsia" w:hAnsi="Times New Roman" w:hint="eastAsia"/>
          <w:iCs/>
          <w:color w:val="auto"/>
          <w:lang w:eastAsia="zh-CN"/>
        </w:rPr>
        <w:t>A.1</w:t>
      </w:r>
      <w:r w:rsidRPr="00E95435">
        <w:rPr>
          <w:rFonts w:ascii="Times New Roman" w:hAnsi="Times New Roman"/>
          <w:iCs/>
        </w:rPr>
        <w:t xml:space="preserve"> displays activities and the mapping of transitions. The initial place of the model is </w:t>
      </w:r>
      <w:r w:rsidRPr="00E95435">
        <w:rPr>
          <w:rFonts w:ascii="Times New Roman" w:hAnsi="Times New Roman"/>
          <w:i/>
          <w:iCs/>
        </w:rPr>
        <w:t>p</w:t>
      </w:r>
      <w:r w:rsidRPr="00E95435">
        <w:rPr>
          <w:rFonts w:ascii="Times New Roman" w:hAnsi="Times New Roman"/>
          <w:iCs/>
          <w:vertAlign w:val="subscript"/>
        </w:rPr>
        <w:t>1</w:t>
      </w:r>
      <w:r w:rsidRPr="00E95435">
        <w:rPr>
          <w:rFonts w:ascii="Times New Roman" w:hAnsi="Times New Roman"/>
          <w:iCs/>
        </w:rPr>
        <w:t xml:space="preserve">, which means the start of the clinical process; the final place of the model is </w:t>
      </w:r>
      <w:r w:rsidRPr="00E95435">
        <w:rPr>
          <w:rFonts w:ascii="Times New Roman" w:hAnsi="Times New Roman"/>
          <w:i/>
          <w:iCs/>
        </w:rPr>
        <w:t>p</w:t>
      </w:r>
      <w:r w:rsidRPr="00E95435">
        <w:rPr>
          <w:rFonts w:ascii="Times New Roman" w:hAnsi="Times New Roman"/>
          <w:iCs/>
          <w:vertAlign w:val="subscript"/>
        </w:rPr>
        <w:t>13</w:t>
      </w:r>
      <w:r w:rsidRPr="00E95435">
        <w:rPr>
          <w:rFonts w:ascii="Times New Roman" w:hAnsi="Times New Roman"/>
          <w:iCs/>
        </w:rPr>
        <w:t xml:space="preserve">, which means the end of the clinical process. All the places and transitions are on the paths from </w:t>
      </w:r>
      <w:r w:rsidRPr="00E95435">
        <w:rPr>
          <w:rFonts w:ascii="Times New Roman" w:hAnsi="Times New Roman"/>
          <w:i/>
          <w:iCs/>
        </w:rPr>
        <w:t>p</w:t>
      </w:r>
      <w:r w:rsidRPr="00E95435">
        <w:rPr>
          <w:rFonts w:ascii="Times New Roman" w:hAnsi="Times New Roman"/>
          <w:iCs/>
          <w:vertAlign w:val="subscript"/>
        </w:rPr>
        <w:t>1</w:t>
      </w:r>
      <w:r w:rsidRPr="00E95435">
        <w:rPr>
          <w:rFonts w:ascii="Times New Roman" w:hAnsi="Times New Roman"/>
          <w:iCs/>
        </w:rPr>
        <w:t xml:space="preserve"> to </w:t>
      </w:r>
      <w:r w:rsidRPr="00E95435">
        <w:rPr>
          <w:rFonts w:ascii="Times New Roman" w:hAnsi="Times New Roman"/>
          <w:i/>
          <w:iCs/>
        </w:rPr>
        <w:t>p</w:t>
      </w:r>
      <w:r w:rsidRPr="00E95435">
        <w:rPr>
          <w:rFonts w:ascii="Times New Roman" w:hAnsi="Times New Roman"/>
          <w:iCs/>
          <w:vertAlign w:val="subscript"/>
        </w:rPr>
        <w:t>13</w:t>
      </w:r>
      <w:r w:rsidRPr="00E95435">
        <w:rPr>
          <w:rFonts w:ascii="Times New Roman" w:hAnsi="Times New Roman"/>
          <w:iCs/>
        </w:rPr>
        <w:t>. Meanwhile, the model meets such properties as option to complete,</w:t>
      </w:r>
      <w:r w:rsidRPr="00E95435">
        <w:rPr>
          <w:rFonts w:ascii="Times New Roman" w:hAnsi="Times New Roman"/>
        </w:rPr>
        <w:t xml:space="preserve"> </w:t>
      </w:r>
      <w:r w:rsidRPr="00E95435">
        <w:rPr>
          <w:rFonts w:ascii="Times New Roman" w:hAnsi="Times New Roman"/>
          <w:iCs/>
        </w:rPr>
        <w:t>safety, no dead transitions, proper completion. Hence, it's a reliable workflow net.</w:t>
      </w:r>
    </w:p>
    <w:p w14:paraId="34769A92" w14:textId="77777777" w:rsidR="00AE4980" w:rsidRPr="00E95435" w:rsidRDefault="00AE4980" w:rsidP="00AE4980">
      <w:pPr>
        <w:adjustRightInd w:val="0"/>
        <w:snapToGrid w:val="0"/>
        <w:spacing w:line="240" w:lineRule="auto"/>
        <w:rPr>
          <w:rFonts w:ascii="Times New Roman" w:eastAsia="Times New Roman" w:hAnsi="Times New Roman"/>
          <w:snapToGrid w:val="0"/>
          <w:szCs w:val="22"/>
          <w:lang w:eastAsia="de-DE" w:bidi="en-US"/>
        </w:rPr>
      </w:pPr>
      <w:r w:rsidRPr="00E95435">
        <w:rPr>
          <w:rFonts w:ascii="Times New Roman" w:eastAsia="Times New Roman" w:hAnsi="Times New Roman"/>
          <w:b/>
          <w:snapToGrid w:val="0"/>
          <w:sz w:val="16"/>
          <w:szCs w:val="16"/>
          <w:lang w:eastAsia="de-DE" w:bidi="en-US"/>
        </w:rPr>
        <w:object w:dxaOrig="7962" w:dyaOrig="6800" w14:anchorId="4EDE85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333pt;mso-position-vertical:absolute" o:ole="">
            <v:imagedata r:id="rId6" o:title=""/>
            <o:lock v:ext="edit" aspectratio="f"/>
          </v:shape>
          <o:OLEObject Type="Embed" ProgID="Visio.Drawing.11" ShapeID="_x0000_i1025" DrawAspect="Content" ObjectID="_1784362470" r:id="rId7"/>
        </w:object>
      </w:r>
    </w:p>
    <w:p w14:paraId="4514A90F" w14:textId="3FEBC024" w:rsidR="00AE4980" w:rsidRPr="00046B7F" w:rsidRDefault="00AE4980" w:rsidP="00AE4980">
      <w:pPr>
        <w:adjustRightInd w:val="0"/>
        <w:snapToGrid w:val="0"/>
        <w:spacing w:before="120" w:after="240" w:line="240" w:lineRule="auto"/>
        <w:rPr>
          <w:rFonts w:ascii="Times New Roman" w:eastAsiaTheme="minorEastAsia" w:hAnsi="Times New Roman"/>
          <w:sz w:val="18"/>
          <w:lang w:bidi="en-US"/>
        </w:rPr>
      </w:pPr>
      <w:r w:rsidRPr="000C47AB">
        <w:rPr>
          <w:rFonts w:ascii="Times New Roman" w:eastAsia="Times New Roman" w:hAnsi="Times New Roman"/>
          <w:b/>
          <w:color w:val="auto"/>
          <w:sz w:val="18"/>
          <w:lang w:eastAsia="de-DE" w:bidi="en-US"/>
        </w:rPr>
        <w:t xml:space="preserve">Figure </w:t>
      </w:r>
      <w:r w:rsidRPr="000C47AB">
        <w:rPr>
          <w:rFonts w:ascii="Times New Roman" w:eastAsiaTheme="minorEastAsia" w:hAnsi="Times New Roman" w:hint="eastAsia"/>
          <w:b/>
          <w:color w:val="auto"/>
          <w:sz w:val="18"/>
          <w:lang w:bidi="en-US"/>
        </w:rPr>
        <w:t>A.1</w:t>
      </w:r>
      <w:r w:rsidRPr="000C47AB">
        <w:rPr>
          <w:rFonts w:ascii="Times New Roman" w:eastAsia="Times New Roman" w:hAnsi="Times New Roman"/>
          <w:b/>
          <w:color w:val="auto"/>
          <w:sz w:val="18"/>
          <w:lang w:eastAsia="de-DE" w:bidi="en-US"/>
        </w:rPr>
        <w:t xml:space="preserve">. </w:t>
      </w:r>
      <w:r w:rsidRPr="000C47AB">
        <w:rPr>
          <w:rFonts w:ascii="Times New Roman" w:eastAsia="Times New Roman" w:hAnsi="Times New Roman"/>
          <w:color w:val="auto"/>
          <w:sz w:val="18"/>
          <w:lang w:eastAsia="de-DE" w:bidi="en-US"/>
        </w:rPr>
        <w:t>A</w:t>
      </w:r>
      <w:r w:rsidRPr="00E95435">
        <w:rPr>
          <w:rFonts w:ascii="Times New Roman" w:eastAsia="Times New Roman" w:hAnsi="Times New Roman"/>
          <w:sz w:val="18"/>
          <w:lang w:eastAsia="de-DE" w:bidi="en-US"/>
        </w:rPr>
        <w:t xml:space="preserve"> standard clinical process of diabetic foot ulcer during the COVID-19 epidemic.</w:t>
      </w:r>
    </w:p>
    <w:p w14:paraId="44A66C01" w14:textId="44B97B2F" w:rsidR="00AE4980" w:rsidRPr="000C47AB" w:rsidRDefault="00AE4980" w:rsidP="00AE4980">
      <w:pPr>
        <w:adjustRightInd w:val="0"/>
        <w:snapToGrid w:val="0"/>
        <w:spacing w:before="240" w:after="120" w:line="240" w:lineRule="auto"/>
        <w:rPr>
          <w:rFonts w:ascii="Times New Roman" w:hAnsi="Times New Roman"/>
          <w:color w:val="auto"/>
          <w:sz w:val="18"/>
          <w:szCs w:val="22"/>
          <w:lang w:bidi="en-US"/>
        </w:rPr>
      </w:pPr>
      <w:r w:rsidRPr="00E95435">
        <w:rPr>
          <w:rFonts w:ascii="Times New Roman" w:eastAsia="Times New Roman" w:hAnsi="Times New Roman"/>
          <w:b/>
          <w:sz w:val="18"/>
          <w:szCs w:val="22"/>
          <w:lang w:eastAsia="de-DE" w:bidi="en-US"/>
        </w:rPr>
        <w:t xml:space="preserve">Table </w:t>
      </w:r>
      <w:r>
        <w:rPr>
          <w:rFonts w:ascii="Times New Roman" w:eastAsiaTheme="minorEastAsia" w:hAnsi="Times New Roman" w:hint="eastAsia"/>
          <w:b/>
          <w:sz w:val="18"/>
          <w:szCs w:val="22"/>
          <w:lang w:bidi="en-US"/>
        </w:rPr>
        <w:t>A.</w:t>
      </w:r>
      <w:r w:rsidRPr="00E95435">
        <w:rPr>
          <w:rFonts w:ascii="Times New Roman" w:eastAsia="Times New Roman" w:hAnsi="Times New Roman"/>
          <w:b/>
          <w:sz w:val="18"/>
          <w:szCs w:val="22"/>
          <w:lang w:eastAsia="de-DE" w:bidi="en-US"/>
        </w:rPr>
        <w:t>1.</w:t>
      </w:r>
      <w:r w:rsidRPr="00E95435">
        <w:rPr>
          <w:rFonts w:ascii="Times New Roman" w:eastAsia="Times New Roman" w:hAnsi="Times New Roman"/>
          <w:sz w:val="18"/>
          <w:szCs w:val="22"/>
          <w:lang w:eastAsia="de-DE" w:bidi="en-US"/>
        </w:rPr>
        <w:t xml:space="preserve"> The mapping of</w:t>
      </w:r>
      <w:r w:rsidRPr="00E95435">
        <w:rPr>
          <w:rFonts w:ascii="Times New Roman" w:eastAsia="Times New Roman" w:hAnsi="Times New Roman"/>
          <w:color w:val="auto"/>
          <w:sz w:val="18"/>
          <w:szCs w:val="22"/>
          <w:lang w:eastAsia="de-DE" w:bidi="en-US"/>
        </w:rPr>
        <w:t xml:space="preserve"> activities and transitions</w:t>
      </w:r>
      <w:r w:rsidRPr="00E95435">
        <w:rPr>
          <w:rFonts w:ascii="Times New Roman" w:eastAsia="Times New Roman" w:hAnsi="Times New Roman"/>
          <w:sz w:val="18"/>
          <w:szCs w:val="22"/>
          <w:lang w:eastAsia="de-DE" w:bidi="en-US"/>
        </w:rPr>
        <w:t xml:space="preserve"> in Figur</w:t>
      </w:r>
      <w:r w:rsidRPr="000C47AB">
        <w:rPr>
          <w:rFonts w:ascii="Times New Roman" w:eastAsia="Times New Roman" w:hAnsi="Times New Roman"/>
          <w:color w:val="auto"/>
          <w:sz w:val="18"/>
          <w:szCs w:val="22"/>
          <w:lang w:eastAsia="de-DE" w:bidi="en-US"/>
        </w:rPr>
        <w:t xml:space="preserve">e </w:t>
      </w:r>
      <w:r w:rsidR="000C47AB" w:rsidRPr="000C47AB">
        <w:rPr>
          <w:rFonts w:ascii="Times New Roman" w:eastAsiaTheme="minorEastAsia" w:hAnsi="Times New Roman" w:hint="eastAsia"/>
          <w:color w:val="auto"/>
          <w:sz w:val="18"/>
          <w:szCs w:val="22"/>
          <w:lang w:bidi="en-US"/>
        </w:rPr>
        <w:t>A.1</w:t>
      </w:r>
      <w:r w:rsidRPr="000C47AB">
        <w:rPr>
          <w:rFonts w:ascii="Times New Roman" w:hAnsi="Times New Roman"/>
          <w:color w:val="auto"/>
          <w:sz w:val="18"/>
          <w:szCs w:val="22"/>
          <w:lang w:bidi="en-US"/>
        </w:rPr>
        <w:t>.</w:t>
      </w:r>
    </w:p>
    <w:tbl>
      <w:tblPr>
        <w:tblStyle w:val="10"/>
        <w:tblW w:w="86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260"/>
        <w:gridCol w:w="992"/>
        <w:gridCol w:w="3402"/>
      </w:tblGrid>
      <w:tr w:rsidR="00AE4980" w:rsidRPr="00E95435" w14:paraId="4F117257" w14:textId="77777777" w:rsidTr="00DF4611">
        <w:trPr>
          <w:jc w:val="center"/>
        </w:trPr>
        <w:tc>
          <w:tcPr>
            <w:tcW w:w="99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F8A4E1C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Transition</w:t>
            </w:r>
          </w:p>
        </w:tc>
        <w:tc>
          <w:tcPr>
            <w:tcW w:w="326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37E369A8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Activity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2A591192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Transition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603E914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Activity</w:t>
            </w:r>
          </w:p>
        </w:tc>
      </w:tr>
      <w:tr w:rsidR="00AE4980" w:rsidRPr="00E95435" w14:paraId="13CC7FB1" w14:textId="77777777" w:rsidTr="00DF4611">
        <w:trPr>
          <w:jc w:val="center"/>
        </w:trPr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6B5C57C8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right w:val="nil"/>
            </w:tcBorders>
            <w:vAlign w:val="center"/>
          </w:tcPr>
          <w:p w14:paraId="50A08E3D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primary diagnosis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3A7D9A4B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26</w:t>
            </w:r>
          </w:p>
        </w:tc>
        <w:tc>
          <w:tcPr>
            <w:tcW w:w="3402" w:type="dxa"/>
            <w:vAlign w:val="center"/>
          </w:tcPr>
          <w:p w14:paraId="7F950ACE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special </w:t>
            </w:r>
            <w:proofErr w:type="gramStart"/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examination(</w:t>
            </w:r>
            <w:proofErr w:type="gramEnd"/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SE)</w:t>
            </w:r>
          </w:p>
        </w:tc>
      </w:tr>
      <w:tr w:rsidR="00AE4980" w:rsidRPr="00E95435" w14:paraId="0EAEE652" w14:textId="77777777" w:rsidTr="00DF4611">
        <w:trPr>
          <w:jc w:val="center"/>
        </w:trPr>
        <w:tc>
          <w:tcPr>
            <w:tcW w:w="993" w:type="dxa"/>
            <w:vAlign w:val="center"/>
          </w:tcPr>
          <w:p w14:paraId="274B70B6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14:paraId="142FAD91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superficial foot </w:t>
            </w:r>
            <w:proofErr w:type="gramStart"/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ulcer(</w:t>
            </w:r>
            <w:proofErr w:type="spellStart"/>
            <w:proofErr w:type="gramEnd"/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wagner</w:t>
            </w:r>
            <w:proofErr w:type="spellEnd"/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 1)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0422570A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27</w:t>
            </w:r>
          </w:p>
        </w:tc>
        <w:tc>
          <w:tcPr>
            <w:tcW w:w="3402" w:type="dxa"/>
            <w:vAlign w:val="center"/>
          </w:tcPr>
          <w:p w14:paraId="3471D96C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throat swab specimen</w:t>
            </w:r>
          </w:p>
        </w:tc>
      </w:tr>
      <w:tr w:rsidR="00AE4980" w:rsidRPr="00E95435" w14:paraId="4030404E" w14:textId="77777777" w:rsidTr="00DF4611">
        <w:trPr>
          <w:jc w:val="center"/>
        </w:trPr>
        <w:tc>
          <w:tcPr>
            <w:tcW w:w="993" w:type="dxa"/>
            <w:vAlign w:val="center"/>
          </w:tcPr>
          <w:p w14:paraId="66C68259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14:paraId="688370C3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foot </w:t>
            </w:r>
            <w:proofErr w:type="gramStart"/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ulcer(</w:t>
            </w:r>
            <w:proofErr w:type="spellStart"/>
            <w:proofErr w:type="gramEnd"/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wagner</w:t>
            </w:r>
            <w:proofErr w:type="spellEnd"/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 2-5)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1589E047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28</w:t>
            </w:r>
          </w:p>
        </w:tc>
        <w:tc>
          <w:tcPr>
            <w:tcW w:w="3402" w:type="dxa"/>
            <w:vAlign w:val="center"/>
          </w:tcPr>
          <w:p w14:paraId="656DCBCC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stool specimen</w:t>
            </w:r>
          </w:p>
        </w:tc>
      </w:tr>
      <w:tr w:rsidR="00AE4980" w:rsidRPr="00E95435" w14:paraId="2780A84F" w14:textId="77777777" w:rsidTr="00DF4611">
        <w:trPr>
          <w:jc w:val="center"/>
        </w:trPr>
        <w:tc>
          <w:tcPr>
            <w:tcW w:w="993" w:type="dxa"/>
            <w:vAlign w:val="center"/>
          </w:tcPr>
          <w:p w14:paraId="161FB918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14:paraId="5A0C8F81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a medical examination nearby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2EEA3423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29</w:t>
            </w:r>
          </w:p>
        </w:tc>
        <w:tc>
          <w:tcPr>
            <w:tcW w:w="3402" w:type="dxa"/>
            <w:vAlign w:val="center"/>
          </w:tcPr>
          <w:p w14:paraId="69DEE83F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check for the result of SE</w:t>
            </w:r>
          </w:p>
        </w:tc>
      </w:tr>
      <w:tr w:rsidR="00AE4980" w:rsidRPr="00E95435" w14:paraId="429BA854" w14:textId="77777777" w:rsidTr="00DF4611">
        <w:trPr>
          <w:jc w:val="center"/>
        </w:trPr>
        <w:tc>
          <w:tcPr>
            <w:tcW w:w="993" w:type="dxa"/>
            <w:vAlign w:val="center"/>
          </w:tcPr>
          <w:p w14:paraId="0DC59600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14:paraId="7018336C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online guidance from medical specialists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6B79A3A1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30</w:t>
            </w:r>
          </w:p>
        </w:tc>
        <w:tc>
          <w:tcPr>
            <w:tcW w:w="3402" w:type="dxa"/>
            <w:vAlign w:val="center"/>
          </w:tcPr>
          <w:p w14:paraId="348738D2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treatment for positive result for SE</w:t>
            </w:r>
          </w:p>
        </w:tc>
      </w:tr>
      <w:tr w:rsidR="00AE4980" w:rsidRPr="00E95435" w14:paraId="12406BCE" w14:textId="77777777" w:rsidTr="00DF4611">
        <w:trPr>
          <w:jc w:val="center"/>
        </w:trPr>
        <w:tc>
          <w:tcPr>
            <w:tcW w:w="993" w:type="dxa"/>
            <w:vAlign w:val="center"/>
          </w:tcPr>
          <w:p w14:paraId="689588C3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14:paraId="4BAC9068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home care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362CD161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31</w:t>
            </w:r>
          </w:p>
        </w:tc>
        <w:tc>
          <w:tcPr>
            <w:tcW w:w="3402" w:type="dxa"/>
            <w:vAlign w:val="center"/>
          </w:tcPr>
          <w:p w14:paraId="706949C8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treatment for negative result of SE</w:t>
            </w:r>
          </w:p>
        </w:tc>
      </w:tr>
      <w:tr w:rsidR="00AE4980" w:rsidRPr="00E95435" w14:paraId="6C02BBF6" w14:textId="77777777" w:rsidTr="00DF4611">
        <w:trPr>
          <w:jc w:val="center"/>
        </w:trPr>
        <w:tc>
          <w:tcPr>
            <w:tcW w:w="993" w:type="dxa"/>
            <w:vAlign w:val="center"/>
          </w:tcPr>
          <w:p w14:paraId="4C7471E9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14:paraId="2A42DAB4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dressing change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61CCE3CF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32</w:t>
            </w:r>
          </w:p>
        </w:tc>
        <w:tc>
          <w:tcPr>
            <w:tcW w:w="3402" w:type="dxa"/>
            <w:vAlign w:val="center"/>
          </w:tcPr>
          <w:p w14:paraId="0C4C73CA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confirmation of COVID-19</w:t>
            </w:r>
          </w:p>
        </w:tc>
      </w:tr>
      <w:tr w:rsidR="00AE4980" w:rsidRPr="00E95435" w14:paraId="76282CF2" w14:textId="77777777" w:rsidTr="00DF4611">
        <w:trPr>
          <w:jc w:val="center"/>
        </w:trPr>
        <w:tc>
          <w:tcPr>
            <w:tcW w:w="993" w:type="dxa"/>
            <w:vAlign w:val="center"/>
          </w:tcPr>
          <w:p w14:paraId="3FF1B352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14:paraId="36791A72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foot decompression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5EF85018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33</w:t>
            </w:r>
          </w:p>
        </w:tc>
        <w:tc>
          <w:tcPr>
            <w:tcW w:w="3402" w:type="dxa"/>
            <w:vAlign w:val="center"/>
          </w:tcPr>
          <w:p w14:paraId="772589E6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exclusion of COVID-19</w:t>
            </w:r>
          </w:p>
        </w:tc>
      </w:tr>
      <w:tr w:rsidR="00AE4980" w:rsidRPr="00E95435" w14:paraId="20604171" w14:textId="77777777" w:rsidTr="00DF4611">
        <w:trPr>
          <w:jc w:val="center"/>
        </w:trPr>
        <w:tc>
          <w:tcPr>
            <w:tcW w:w="993" w:type="dxa"/>
            <w:vAlign w:val="center"/>
          </w:tcPr>
          <w:p w14:paraId="7E512B6F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14:paraId="0AFC3458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glucose control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0870C08E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34</w:t>
            </w:r>
          </w:p>
        </w:tc>
        <w:tc>
          <w:tcPr>
            <w:tcW w:w="3402" w:type="dxa"/>
            <w:vAlign w:val="center"/>
          </w:tcPr>
          <w:p w14:paraId="6897BDFB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admission to isolation ward</w:t>
            </w:r>
          </w:p>
        </w:tc>
      </w:tr>
      <w:tr w:rsidR="00AE4980" w:rsidRPr="00E95435" w14:paraId="5A1A92E8" w14:textId="77777777" w:rsidTr="00DF4611">
        <w:trPr>
          <w:jc w:val="center"/>
        </w:trPr>
        <w:tc>
          <w:tcPr>
            <w:tcW w:w="993" w:type="dxa"/>
            <w:vAlign w:val="center"/>
          </w:tcPr>
          <w:p w14:paraId="27BB5E2D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14:paraId="5A189AD2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blood pressure control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7CF84626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i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35</w:t>
            </w:r>
          </w:p>
        </w:tc>
        <w:tc>
          <w:tcPr>
            <w:tcW w:w="3402" w:type="dxa"/>
            <w:vAlign w:val="center"/>
          </w:tcPr>
          <w:p w14:paraId="5BA8142B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multidisciplinary collaboration</w:t>
            </w:r>
          </w:p>
        </w:tc>
      </w:tr>
      <w:tr w:rsidR="00AE4980" w:rsidRPr="00E95435" w14:paraId="43E172F1" w14:textId="77777777" w:rsidTr="00DF4611">
        <w:trPr>
          <w:jc w:val="center"/>
        </w:trPr>
        <w:tc>
          <w:tcPr>
            <w:tcW w:w="993" w:type="dxa"/>
            <w:vAlign w:val="center"/>
          </w:tcPr>
          <w:p w14:paraId="4882AD97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11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14:paraId="584A557E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recovery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36BEA23C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i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36</w:t>
            </w:r>
          </w:p>
        </w:tc>
        <w:tc>
          <w:tcPr>
            <w:tcW w:w="3402" w:type="dxa"/>
            <w:vAlign w:val="center"/>
          </w:tcPr>
          <w:p w14:paraId="4A629B02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treatment of local wound surface by foot disease professionals</w:t>
            </w:r>
          </w:p>
        </w:tc>
      </w:tr>
      <w:tr w:rsidR="00AE4980" w:rsidRPr="00E95435" w14:paraId="1AFF2285" w14:textId="77777777" w:rsidTr="00DF4611">
        <w:trPr>
          <w:jc w:val="center"/>
        </w:trPr>
        <w:tc>
          <w:tcPr>
            <w:tcW w:w="993" w:type="dxa"/>
            <w:vAlign w:val="center"/>
          </w:tcPr>
          <w:p w14:paraId="3B0371E0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14:paraId="0E346E8D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epidemiological history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0C81D857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i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37</w:t>
            </w:r>
          </w:p>
        </w:tc>
        <w:tc>
          <w:tcPr>
            <w:tcW w:w="3402" w:type="dxa"/>
            <w:vAlign w:val="center"/>
          </w:tcPr>
          <w:p w14:paraId="6C552F29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out of quarantine</w:t>
            </w:r>
          </w:p>
        </w:tc>
      </w:tr>
      <w:tr w:rsidR="00AE4980" w:rsidRPr="00E95435" w14:paraId="5668D276" w14:textId="77777777" w:rsidTr="00DF4611">
        <w:trPr>
          <w:jc w:val="center"/>
        </w:trPr>
        <w:tc>
          <w:tcPr>
            <w:tcW w:w="993" w:type="dxa"/>
            <w:vAlign w:val="center"/>
          </w:tcPr>
          <w:p w14:paraId="48DC0E13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13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14:paraId="3D14CCDD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body temperature measurement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62040B95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i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38</w:t>
            </w:r>
          </w:p>
        </w:tc>
        <w:tc>
          <w:tcPr>
            <w:tcW w:w="3402" w:type="dxa"/>
            <w:vAlign w:val="center"/>
          </w:tcPr>
          <w:p w14:paraId="503D300A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transfer to non-polluted specialist ward</w:t>
            </w:r>
          </w:p>
        </w:tc>
      </w:tr>
      <w:tr w:rsidR="00AE4980" w:rsidRPr="00E95435" w14:paraId="6980B2CB" w14:textId="77777777" w:rsidTr="00DF4611">
        <w:trPr>
          <w:jc w:val="center"/>
        </w:trPr>
        <w:tc>
          <w:tcPr>
            <w:tcW w:w="993" w:type="dxa"/>
            <w:vAlign w:val="center"/>
          </w:tcPr>
          <w:p w14:paraId="0E5EE91D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14:paraId="6A21B4C1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COVID-19 examination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2A204B4C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i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39</w:t>
            </w:r>
          </w:p>
        </w:tc>
        <w:tc>
          <w:tcPr>
            <w:tcW w:w="3402" w:type="dxa"/>
            <w:vAlign w:val="center"/>
          </w:tcPr>
          <w:p w14:paraId="33F56DC3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diagnosis for infection</w:t>
            </w:r>
          </w:p>
        </w:tc>
      </w:tr>
      <w:tr w:rsidR="00AE4980" w:rsidRPr="00E95435" w14:paraId="43C58134" w14:textId="77777777" w:rsidTr="00DF4611">
        <w:trPr>
          <w:jc w:val="center"/>
        </w:trPr>
        <w:tc>
          <w:tcPr>
            <w:tcW w:w="993" w:type="dxa"/>
            <w:vAlign w:val="center"/>
          </w:tcPr>
          <w:p w14:paraId="0958179A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15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14:paraId="138E1A1B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non-suspect COVID-19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4D8C4943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i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40</w:t>
            </w:r>
          </w:p>
        </w:tc>
        <w:tc>
          <w:tcPr>
            <w:tcW w:w="3402" w:type="dxa"/>
            <w:vAlign w:val="center"/>
          </w:tcPr>
          <w:p w14:paraId="19E365CF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conservative treatment</w:t>
            </w:r>
          </w:p>
        </w:tc>
      </w:tr>
      <w:tr w:rsidR="00AE4980" w:rsidRPr="00E95435" w14:paraId="22BDE6CA" w14:textId="77777777" w:rsidTr="00DF4611">
        <w:trPr>
          <w:jc w:val="center"/>
        </w:trPr>
        <w:tc>
          <w:tcPr>
            <w:tcW w:w="993" w:type="dxa"/>
            <w:vAlign w:val="center"/>
          </w:tcPr>
          <w:p w14:paraId="0AFA7AEA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16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14:paraId="464A2060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suspect COVID-19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24C8D3A6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i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41</w:t>
            </w:r>
          </w:p>
        </w:tc>
        <w:tc>
          <w:tcPr>
            <w:tcW w:w="3402" w:type="dxa"/>
            <w:vAlign w:val="center"/>
          </w:tcPr>
          <w:p w14:paraId="476C59CD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surgical treatment</w:t>
            </w:r>
          </w:p>
        </w:tc>
      </w:tr>
      <w:tr w:rsidR="00AE4980" w:rsidRPr="00E95435" w14:paraId="0AA0E599" w14:textId="77777777" w:rsidTr="00DF4611">
        <w:trPr>
          <w:jc w:val="center"/>
        </w:trPr>
        <w:tc>
          <w:tcPr>
            <w:tcW w:w="993" w:type="dxa"/>
            <w:vAlign w:val="center"/>
          </w:tcPr>
          <w:p w14:paraId="6A4B9AA3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17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14:paraId="71785573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admission to relative-polluted specialist ward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30730EBF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i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42</w:t>
            </w:r>
          </w:p>
        </w:tc>
        <w:tc>
          <w:tcPr>
            <w:tcW w:w="3402" w:type="dxa"/>
            <w:vAlign w:val="center"/>
          </w:tcPr>
          <w:p w14:paraId="49097381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diagnosis for limb necrosis</w:t>
            </w:r>
          </w:p>
        </w:tc>
      </w:tr>
      <w:tr w:rsidR="00AE4980" w:rsidRPr="00E95435" w14:paraId="4F456BC3" w14:textId="77777777" w:rsidTr="00DF4611">
        <w:trPr>
          <w:jc w:val="center"/>
        </w:trPr>
        <w:tc>
          <w:tcPr>
            <w:tcW w:w="993" w:type="dxa"/>
            <w:vAlign w:val="center"/>
          </w:tcPr>
          <w:p w14:paraId="5994C7DE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18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14:paraId="3BC46CB6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admission to fever clinic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798B4C85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i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43</w:t>
            </w:r>
          </w:p>
        </w:tc>
        <w:tc>
          <w:tcPr>
            <w:tcW w:w="3402" w:type="dxa"/>
            <w:vAlign w:val="center"/>
          </w:tcPr>
          <w:p w14:paraId="70037250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medication</w:t>
            </w:r>
          </w:p>
        </w:tc>
      </w:tr>
      <w:tr w:rsidR="00AE4980" w:rsidRPr="00E95435" w14:paraId="2B4304B7" w14:textId="77777777" w:rsidTr="00DF4611">
        <w:trPr>
          <w:jc w:val="center"/>
        </w:trPr>
        <w:tc>
          <w:tcPr>
            <w:tcW w:w="993" w:type="dxa"/>
            <w:vAlign w:val="center"/>
          </w:tcPr>
          <w:p w14:paraId="3543E5B1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lastRenderedPageBreak/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19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14:paraId="08CF8694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routine </w:t>
            </w:r>
            <w:proofErr w:type="gramStart"/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examination(</w:t>
            </w:r>
            <w:proofErr w:type="gramEnd"/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RE)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1C6A95FD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i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44</w:t>
            </w:r>
          </w:p>
        </w:tc>
        <w:tc>
          <w:tcPr>
            <w:tcW w:w="3402" w:type="dxa"/>
            <w:vAlign w:val="center"/>
          </w:tcPr>
          <w:p w14:paraId="4008C38E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antibiotic therapy</w:t>
            </w:r>
          </w:p>
        </w:tc>
      </w:tr>
      <w:tr w:rsidR="00AE4980" w:rsidRPr="00E95435" w14:paraId="0164DAA6" w14:textId="77777777" w:rsidTr="00DF4611">
        <w:trPr>
          <w:jc w:val="center"/>
        </w:trPr>
        <w:tc>
          <w:tcPr>
            <w:tcW w:w="993" w:type="dxa"/>
            <w:vAlign w:val="center"/>
          </w:tcPr>
          <w:p w14:paraId="4518AA0F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20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14:paraId="5E40E986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routine blood test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7B4B9EFB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i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45</w:t>
            </w:r>
          </w:p>
        </w:tc>
        <w:tc>
          <w:tcPr>
            <w:tcW w:w="3402" w:type="dxa"/>
            <w:vAlign w:val="center"/>
          </w:tcPr>
          <w:p w14:paraId="1F1EF334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debridement</w:t>
            </w:r>
          </w:p>
        </w:tc>
      </w:tr>
      <w:tr w:rsidR="00AE4980" w:rsidRPr="00E95435" w14:paraId="1D24FCBE" w14:textId="77777777" w:rsidTr="00DF4611">
        <w:trPr>
          <w:jc w:val="center"/>
        </w:trPr>
        <w:tc>
          <w:tcPr>
            <w:tcW w:w="993" w:type="dxa"/>
            <w:vAlign w:val="center"/>
          </w:tcPr>
          <w:p w14:paraId="1524D418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21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14:paraId="40E962A1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inflammation marker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54798B86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i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46</w:t>
            </w:r>
          </w:p>
        </w:tc>
        <w:tc>
          <w:tcPr>
            <w:tcW w:w="3402" w:type="dxa"/>
            <w:vAlign w:val="center"/>
          </w:tcPr>
          <w:p w14:paraId="55EA6B58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amputation</w:t>
            </w:r>
          </w:p>
        </w:tc>
      </w:tr>
      <w:tr w:rsidR="00AE4980" w:rsidRPr="00E95435" w14:paraId="797305C0" w14:textId="77777777" w:rsidTr="00DF4611">
        <w:trPr>
          <w:jc w:val="center"/>
        </w:trPr>
        <w:tc>
          <w:tcPr>
            <w:tcW w:w="993" w:type="dxa"/>
            <w:vAlign w:val="center"/>
          </w:tcPr>
          <w:p w14:paraId="2F00BC79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i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22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14:paraId="4A4B3151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chest CT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41AFD594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i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47</w:t>
            </w:r>
          </w:p>
        </w:tc>
        <w:tc>
          <w:tcPr>
            <w:tcW w:w="3402" w:type="dxa"/>
            <w:vAlign w:val="center"/>
          </w:tcPr>
          <w:p w14:paraId="11A170DA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dressing the wound</w:t>
            </w:r>
          </w:p>
        </w:tc>
      </w:tr>
      <w:tr w:rsidR="00AE4980" w:rsidRPr="00E95435" w14:paraId="4C521093" w14:textId="77777777" w:rsidTr="00DF4611">
        <w:trPr>
          <w:jc w:val="center"/>
        </w:trPr>
        <w:tc>
          <w:tcPr>
            <w:tcW w:w="993" w:type="dxa"/>
            <w:vAlign w:val="center"/>
          </w:tcPr>
          <w:p w14:paraId="4CB09D8C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i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23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14:paraId="2E98D502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check for the result of RE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38307CB4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i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48</w:t>
            </w:r>
          </w:p>
        </w:tc>
        <w:tc>
          <w:tcPr>
            <w:tcW w:w="3402" w:type="dxa"/>
            <w:vAlign w:val="center"/>
          </w:tcPr>
          <w:p w14:paraId="372CCA1A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sutures out</w:t>
            </w:r>
          </w:p>
        </w:tc>
      </w:tr>
      <w:tr w:rsidR="00AE4980" w:rsidRPr="00E95435" w14:paraId="70D291D2" w14:textId="77777777" w:rsidTr="00DF4611">
        <w:trPr>
          <w:jc w:val="center"/>
        </w:trPr>
        <w:tc>
          <w:tcPr>
            <w:tcW w:w="993" w:type="dxa"/>
            <w:vAlign w:val="center"/>
          </w:tcPr>
          <w:p w14:paraId="0352BC09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i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24</w:t>
            </w:r>
          </w:p>
        </w:tc>
        <w:tc>
          <w:tcPr>
            <w:tcW w:w="3260" w:type="dxa"/>
            <w:tcBorders>
              <w:bottom w:val="nil"/>
              <w:right w:val="nil"/>
            </w:tcBorders>
            <w:vAlign w:val="center"/>
          </w:tcPr>
          <w:p w14:paraId="18045693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treatment for positive result of RE</w:t>
            </w:r>
          </w:p>
        </w:tc>
        <w:tc>
          <w:tcPr>
            <w:tcW w:w="992" w:type="dxa"/>
            <w:tcBorders>
              <w:left w:val="nil"/>
              <w:bottom w:val="nil"/>
            </w:tcBorders>
            <w:vAlign w:val="center"/>
          </w:tcPr>
          <w:p w14:paraId="797A0CCF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i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49</w:t>
            </w:r>
          </w:p>
        </w:tc>
        <w:tc>
          <w:tcPr>
            <w:tcW w:w="3402" w:type="dxa"/>
            <w:tcBorders>
              <w:bottom w:val="nil"/>
            </w:tcBorders>
            <w:vAlign w:val="center"/>
          </w:tcPr>
          <w:p w14:paraId="5A4A5603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improvement and discharge</w:t>
            </w:r>
          </w:p>
        </w:tc>
      </w:tr>
      <w:tr w:rsidR="00AE4980" w:rsidRPr="00E95435" w14:paraId="556A0723" w14:textId="77777777" w:rsidTr="00DF4611">
        <w:trPr>
          <w:jc w:val="center"/>
        </w:trPr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14:paraId="5931123C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25</w:t>
            </w:r>
          </w:p>
        </w:tc>
        <w:tc>
          <w:tcPr>
            <w:tcW w:w="3260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14:paraId="4A9565D5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treatment for negative result of RE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14:paraId="607074A5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i/>
                <w:color w:val="auto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bottom w:val="double" w:sz="4" w:space="0" w:color="auto"/>
            </w:tcBorders>
            <w:vAlign w:val="center"/>
          </w:tcPr>
          <w:p w14:paraId="5537B6BB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</w:tbl>
    <w:p w14:paraId="3383AFAB" w14:textId="563E4A8C" w:rsidR="00AE4980" w:rsidRPr="00E95435" w:rsidRDefault="00AE4980" w:rsidP="00AE4980">
      <w:pPr>
        <w:pStyle w:val="MDPI31text"/>
        <w:spacing w:line="240" w:lineRule="auto"/>
        <w:ind w:left="0"/>
        <w:rPr>
          <w:rFonts w:ascii="Times New Roman" w:hAnsi="Times New Roman"/>
          <w:bCs/>
          <w:iCs/>
        </w:rPr>
      </w:pPr>
      <w:bookmarkStart w:id="0" w:name="_Hlk132296494"/>
      <w:r w:rsidRPr="00E95435">
        <w:rPr>
          <w:rFonts w:ascii="Times New Roman" w:hAnsi="Times New Roman"/>
          <w:iCs/>
        </w:rPr>
        <w:t xml:space="preserve">In this experiment, the selection of milestone sets is shown in Table </w:t>
      </w:r>
      <w:r w:rsidR="000C47AB" w:rsidRPr="000C47AB">
        <w:rPr>
          <w:rFonts w:ascii="Times New Roman" w:hAnsi="Times New Roman" w:hint="eastAsia"/>
          <w:iCs/>
        </w:rPr>
        <w:t>A.2</w:t>
      </w:r>
      <w:r w:rsidRPr="00E95435">
        <w:rPr>
          <w:rFonts w:ascii="Times New Roman" w:hAnsi="Times New Roman"/>
          <w:iCs/>
        </w:rPr>
        <w:t>. The milestone relation matrix is shown in (</w:t>
      </w:r>
      <w:r w:rsidR="000C47AB">
        <w:rPr>
          <w:rFonts w:ascii="Times New Roman" w:eastAsiaTheme="minorEastAsia" w:hAnsi="Times New Roman" w:hint="eastAsia"/>
          <w:iCs/>
          <w:lang w:eastAsia="zh-CN"/>
        </w:rPr>
        <w:t>A.1</w:t>
      </w:r>
      <w:r w:rsidRPr="00E95435">
        <w:rPr>
          <w:rFonts w:ascii="Times New Roman" w:hAnsi="Times New Roman"/>
          <w:iCs/>
        </w:rPr>
        <w:t xml:space="preserve">), denoted by </w:t>
      </w:r>
      <w:r w:rsidRPr="00E95435">
        <w:rPr>
          <w:rFonts w:ascii="Times New Roman" w:hAnsi="Times New Roman"/>
          <w:i/>
          <w:iCs/>
        </w:rPr>
        <w:t>M</w:t>
      </w:r>
      <w:r w:rsidRPr="00E95435">
        <w:rPr>
          <w:rFonts w:ascii="Times New Roman" w:hAnsi="Times New Roman"/>
          <w:iCs/>
          <w:vertAlign w:val="subscript"/>
        </w:rPr>
        <w:t>d</w:t>
      </w:r>
      <w:r w:rsidRPr="00E95435">
        <w:rPr>
          <w:rFonts w:ascii="Times New Roman" w:hAnsi="Times New Roman"/>
          <w:iCs/>
        </w:rPr>
        <w:t xml:space="preserve">. According to the specific number of the milestone activity, a part of the matrix is selected. </w:t>
      </w:r>
      <w:r w:rsidRPr="00E95435">
        <w:rPr>
          <w:rFonts w:ascii="Times New Roman" w:hAnsi="Times New Roman"/>
          <w:bCs/>
          <w:iCs/>
        </w:rPr>
        <w:t>The milestone relation matrix is used to omit the ineffective traces with noise from the logs.</w:t>
      </w:r>
    </w:p>
    <w:bookmarkEnd w:id="0"/>
    <w:p w14:paraId="69405078" w14:textId="69C0B12A" w:rsidR="00AE4980" w:rsidRPr="00E95435" w:rsidRDefault="00AE4980" w:rsidP="00AE4980">
      <w:pPr>
        <w:adjustRightInd w:val="0"/>
        <w:snapToGrid w:val="0"/>
        <w:spacing w:before="240" w:after="120" w:line="240" w:lineRule="auto"/>
        <w:rPr>
          <w:rFonts w:ascii="Times New Roman" w:eastAsia="Times New Roman" w:hAnsi="Times New Roman"/>
          <w:sz w:val="18"/>
          <w:szCs w:val="22"/>
          <w:lang w:eastAsia="de-DE" w:bidi="en-US"/>
        </w:rPr>
      </w:pPr>
      <w:r w:rsidRPr="00E95435">
        <w:rPr>
          <w:rFonts w:ascii="Times New Roman" w:eastAsia="Times New Roman" w:hAnsi="Times New Roman"/>
          <w:b/>
          <w:sz w:val="18"/>
          <w:szCs w:val="22"/>
          <w:lang w:eastAsia="de-DE" w:bidi="en-US"/>
        </w:rPr>
        <w:t xml:space="preserve">Table </w:t>
      </w:r>
      <w:r w:rsidR="000C47AB">
        <w:rPr>
          <w:rFonts w:ascii="Times New Roman" w:eastAsiaTheme="minorEastAsia" w:hAnsi="Times New Roman" w:hint="eastAsia"/>
          <w:b/>
          <w:sz w:val="18"/>
          <w:szCs w:val="22"/>
          <w:lang w:bidi="en-US"/>
        </w:rPr>
        <w:t>A.</w:t>
      </w:r>
      <w:r w:rsidRPr="00E95435">
        <w:rPr>
          <w:rFonts w:ascii="Times New Roman" w:eastAsia="Times New Roman" w:hAnsi="Times New Roman"/>
          <w:b/>
          <w:sz w:val="18"/>
          <w:szCs w:val="22"/>
          <w:lang w:eastAsia="de-DE" w:bidi="en-US"/>
        </w:rPr>
        <w:t>2.</w:t>
      </w:r>
      <w:r w:rsidRPr="00E95435">
        <w:rPr>
          <w:rFonts w:ascii="Times New Roman" w:eastAsia="Times New Roman" w:hAnsi="Times New Roman"/>
          <w:sz w:val="18"/>
          <w:szCs w:val="22"/>
          <w:lang w:eastAsia="de-DE" w:bidi="en-US"/>
        </w:rPr>
        <w:t xml:space="preserve"> The selection of milestone sets.</w:t>
      </w:r>
    </w:p>
    <w:tbl>
      <w:tblPr>
        <w:tblStyle w:val="9"/>
        <w:tblW w:w="86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992"/>
        <w:gridCol w:w="6804"/>
      </w:tblGrid>
      <w:tr w:rsidR="00AE4980" w:rsidRPr="00E95435" w14:paraId="2D04A2AE" w14:textId="77777777" w:rsidTr="00DF4611">
        <w:trPr>
          <w:trHeight w:val="326"/>
          <w:jc w:val="center"/>
        </w:trPr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35BF89D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Serial number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5A5D83E3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The number of milestones</w:t>
            </w:r>
          </w:p>
        </w:tc>
        <w:tc>
          <w:tcPr>
            <w:tcW w:w="680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0998809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ind w:firstLine="204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Milestone set</w:t>
            </w:r>
          </w:p>
        </w:tc>
      </w:tr>
      <w:tr w:rsidR="00AE4980" w:rsidRPr="00E95435" w14:paraId="6A742CD3" w14:textId="77777777" w:rsidTr="00DF4611">
        <w:trPr>
          <w:jc w:val="center"/>
        </w:trPr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25E1A5C9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iCs/>
                <w:color w:val="auto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right w:val="nil"/>
            </w:tcBorders>
            <w:vAlign w:val="center"/>
          </w:tcPr>
          <w:p w14:paraId="5CA1C8D0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6804" w:type="dxa"/>
            <w:vAlign w:val="center"/>
          </w:tcPr>
          <w:p w14:paraId="45A1C7A0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{}</w:t>
            </w:r>
          </w:p>
        </w:tc>
      </w:tr>
      <w:tr w:rsidR="00AE4980" w:rsidRPr="00E95435" w14:paraId="0E329A9E" w14:textId="77777777" w:rsidTr="00DF4611">
        <w:trPr>
          <w:jc w:val="center"/>
        </w:trPr>
        <w:tc>
          <w:tcPr>
            <w:tcW w:w="851" w:type="dxa"/>
            <w:vAlign w:val="center"/>
          </w:tcPr>
          <w:p w14:paraId="05E8837B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4408BD95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6804" w:type="dxa"/>
            <w:vAlign w:val="center"/>
          </w:tcPr>
          <w:p w14:paraId="1E5DC3F0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{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1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6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)}</w:t>
            </w:r>
          </w:p>
        </w:tc>
      </w:tr>
      <w:tr w:rsidR="00AE4980" w:rsidRPr="00E95435" w14:paraId="2333B65D" w14:textId="77777777" w:rsidTr="00DF4611">
        <w:trPr>
          <w:jc w:val="center"/>
        </w:trPr>
        <w:tc>
          <w:tcPr>
            <w:tcW w:w="851" w:type="dxa"/>
            <w:vAlign w:val="center"/>
          </w:tcPr>
          <w:p w14:paraId="46625D5D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46A49AF1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4</w:t>
            </w:r>
          </w:p>
        </w:tc>
        <w:tc>
          <w:tcPr>
            <w:tcW w:w="6804" w:type="dxa"/>
            <w:vAlign w:val="center"/>
          </w:tcPr>
          <w:p w14:paraId="33D8E771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{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1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6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7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8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)}</w:t>
            </w:r>
          </w:p>
        </w:tc>
      </w:tr>
      <w:tr w:rsidR="00AE4980" w:rsidRPr="00E95435" w14:paraId="5426AB04" w14:textId="77777777" w:rsidTr="00DF4611">
        <w:trPr>
          <w:jc w:val="center"/>
        </w:trPr>
        <w:tc>
          <w:tcPr>
            <w:tcW w:w="851" w:type="dxa"/>
            <w:vAlign w:val="center"/>
          </w:tcPr>
          <w:p w14:paraId="11E7DF3C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076BC549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6</w:t>
            </w:r>
          </w:p>
        </w:tc>
        <w:tc>
          <w:tcPr>
            <w:tcW w:w="6804" w:type="dxa"/>
            <w:vAlign w:val="center"/>
          </w:tcPr>
          <w:p w14:paraId="4C7C35BE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{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1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6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7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8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9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10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)}</w:t>
            </w:r>
          </w:p>
        </w:tc>
      </w:tr>
      <w:tr w:rsidR="00AE4980" w:rsidRPr="00E95435" w14:paraId="7B94E624" w14:textId="77777777" w:rsidTr="00DF4611">
        <w:trPr>
          <w:jc w:val="center"/>
        </w:trPr>
        <w:tc>
          <w:tcPr>
            <w:tcW w:w="851" w:type="dxa"/>
            <w:vAlign w:val="center"/>
          </w:tcPr>
          <w:p w14:paraId="6A7B8EFE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21299E9C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8</w:t>
            </w:r>
          </w:p>
        </w:tc>
        <w:tc>
          <w:tcPr>
            <w:tcW w:w="6804" w:type="dxa"/>
            <w:vAlign w:val="center"/>
          </w:tcPr>
          <w:p w14:paraId="54B69592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{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1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3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6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7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8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9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10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</w:rPr>
              <w:t>11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)}</w:t>
            </w:r>
          </w:p>
        </w:tc>
      </w:tr>
      <w:tr w:rsidR="00AE4980" w:rsidRPr="00E95435" w14:paraId="684D03D5" w14:textId="77777777" w:rsidTr="00DF4611">
        <w:trPr>
          <w:jc w:val="center"/>
        </w:trPr>
        <w:tc>
          <w:tcPr>
            <w:tcW w:w="851" w:type="dxa"/>
            <w:vAlign w:val="center"/>
          </w:tcPr>
          <w:p w14:paraId="1A4DE6B2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6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3997F8A1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10</w:t>
            </w:r>
          </w:p>
        </w:tc>
        <w:tc>
          <w:tcPr>
            <w:tcW w:w="6804" w:type="dxa"/>
            <w:vAlign w:val="center"/>
          </w:tcPr>
          <w:p w14:paraId="162A1AA6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</w:pP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{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3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12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13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),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6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7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8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9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10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11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)}</w:t>
            </w:r>
          </w:p>
        </w:tc>
      </w:tr>
      <w:tr w:rsidR="00AE4980" w:rsidRPr="00E95435" w14:paraId="75367F41" w14:textId="77777777" w:rsidTr="00DF4611">
        <w:trPr>
          <w:jc w:val="center"/>
        </w:trPr>
        <w:tc>
          <w:tcPr>
            <w:tcW w:w="851" w:type="dxa"/>
            <w:vAlign w:val="center"/>
          </w:tcPr>
          <w:p w14:paraId="6D98DEB0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7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1CA3FDC0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12</w:t>
            </w:r>
          </w:p>
        </w:tc>
        <w:tc>
          <w:tcPr>
            <w:tcW w:w="6804" w:type="dxa"/>
            <w:vAlign w:val="center"/>
          </w:tcPr>
          <w:p w14:paraId="5A4A734F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</w:pP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{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3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12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13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14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19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6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7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8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9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10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11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)}</w:t>
            </w:r>
          </w:p>
        </w:tc>
      </w:tr>
      <w:tr w:rsidR="00AE4980" w:rsidRPr="00E95435" w14:paraId="7B217D41" w14:textId="77777777" w:rsidTr="00DF4611">
        <w:trPr>
          <w:jc w:val="center"/>
        </w:trPr>
        <w:tc>
          <w:tcPr>
            <w:tcW w:w="851" w:type="dxa"/>
            <w:vAlign w:val="center"/>
          </w:tcPr>
          <w:p w14:paraId="46BCCD7C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8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5423E50A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14</w:t>
            </w:r>
          </w:p>
        </w:tc>
        <w:tc>
          <w:tcPr>
            <w:tcW w:w="6804" w:type="dxa"/>
            <w:vAlign w:val="center"/>
          </w:tcPr>
          <w:p w14:paraId="0016860E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</w:pP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{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3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12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13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14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19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20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21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6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7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8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9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10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11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)}</w:t>
            </w:r>
          </w:p>
        </w:tc>
      </w:tr>
      <w:tr w:rsidR="00AE4980" w:rsidRPr="00E95435" w14:paraId="6A33B36D" w14:textId="77777777" w:rsidTr="00DF4611">
        <w:trPr>
          <w:trHeight w:val="547"/>
          <w:jc w:val="center"/>
        </w:trPr>
        <w:tc>
          <w:tcPr>
            <w:tcW w:w="851" w:type="dxa"/>
            <w:vAlign w:val="center"/>
          </w:tcPr>
          <w:p w14:paraId="4ECF3354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7DF109C9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sz w:val="18"/>
                <w:szCs w:val="18"/>
              </w:rPr>
              <w:t>16</w:t>
            </w:r>
          </w:p>
        </w:tc>
        <w:tc>
          <w:tcPr>
            <w:tcW w:w="6804" w:type="dxa"/>
            <w:vAlign w:val="center"/>
          </w:tcPr>
          <w:p w14:paraId="23114FEB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</w:pP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{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3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12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13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14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19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20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21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22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23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6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7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8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9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10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11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)}</w:t>
            </w:r>
          </w:p>
        </w:tc>
      </w:tr>
      <w:tr w:rsidR="00AE4980" w:rsidRPr="00E95435" w14:paraId="0D8CC622" w14:textId="77777777" w:rsidTr="00DF4611">
        <w:trPr>
          <w:trHeight w:val="232"/>
          <w:jc w:val="center"/>
        </w:trPr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5C773A42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14:paraId="6502D1C3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</w:pP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</w:rPr>
              <w:t>18</w:t>
            </w:r>
          </w:p>
        </w:tc>
        <w:tc>
          <w:tcPr>
            <w:tcW w:w="6804" w:type="dxa"/>
            <w:tcBorders>
              <w:top w:val="nil"/>
              <w:bottom w:val="double" w:sz="4" w:space="0" w:color="auto"/>
            </w:tcBorders>
            <w:vAlign w:val="center"/>
          </w:tcPr>
          <w:p w14:paraId="3836133C" w14:textId="77777777" w:rsidR="00AE4980" w:rsidRPr="00687B8C" w:rsidRDefault="00AE4980" w:rsidP="00DF4611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color w:val="auto"/>
                <w:sz w:val="18"/>
                <w:szCs w:val="18"/>
                <w:lang w:val="de-DE"/>
              </w:rPr>
            </w:pP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{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3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12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13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14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19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20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21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22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23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38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39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6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7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8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9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10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 xml:space="preserve">), </w:t>
            </w:r>
            <w:r w:rsidRPr="00687B8C">
              <w:rPr>
                <w:rFonts w:ascii="Times New Roman" w:hAnsi="Times New Roman"/>
                <w:i/>
                <w:iCs/>
                <w:color w:val="auto"/>
                <w:kern w:val="2"/>
                <w:sz w:val="18"/>
                <w:szCs w:val="18"/>
              </w:rPr>
              <w:sym w:font="Symbol" w:char="0061"/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(</w:t>
            </w:r>
            <w:r w:rsidRPr="00687B8C">
              <w:rPr>
                <w:rFonts w:ascii="Times New Roman" w:hAnsi="Times New Roman"/>
                <w:i/>
                <w:color w:val="auto"/>
                <w:sz w:val="18"/>
                <w:szCs w:val="18"/>
                <w:lang w:val="de-DE"/>
              </w:rPr>
              <w:t>t</w:t>
            </w:r>
            <w:r w:rsidRPr="00687B8C">
              <w:rPr>
                <w:rFonts w:ascii="Times New Roman" w:hAnsi="Times New Roman"/>
                <w:color w:val="auto"/>
                <w:sz w:val="18"/>
                <w:szCs w:val="18"/>
                <w:vertAlign w:val="subscript"/>
                <w:lang w:val="de-DE"/>
              </w:rPr>
              <w:t>11</w:t>
            </w:r>
            <w:r w:rsidRPr="00687B8C">
              <w:rPr>
                <w:rFonts w:ascii="Times New Roman" w:hAnsi="Times New Roman"/>
                <w:color w:val="auto"/>
                <w:kern w:val="2"/>
                <w:sz w:val="18"/>
                <w:szCs w:val="18"/>
                <w:lang w:val="de-DE"/>
              </w:rPr>
              <w:t>)}</w:t>
            </w:r>
          </w:p>
        </w:tc>
      </w:tr>
    </w:tbl>
    <w:bookmarkStart w:id="1" w:name="_Hlk132296300"/>
    <w:p w14:paraId="7E5924BA" w14:textId="4365D771" w:rsidR="003210DE" w:rsidRPr="00AE4980" w:rsidRDefault="000C47AB">
      <w:r w:rsidRPr="00E95435">
        <w:rPr>
          <w:rFonts w:ascii="Times New Roman" w:hAnsi="Times New Roman"/>
          <w:bCs/>
        </w:rPr>
        <w:object w:dxaOrig="13397" w:dyaOrig="5462" w14:anchorId="49BE092A">
          <v:shape id="_x0000_i1030" type="#_x0000_t75" style="width:401.4pt;height:164.4pt" o:ole="">
            <v:imagedata r:id="rId8" o:title=""/>
          </v:shape>
          <o:OLEObject Type="Embed" ProgID="Visio.Drawing.11" ShapeID="_x0000_i1030" DrawAspect="Content" ObjectID="_1784362471" r:id="rId9"/>
        </w:object>
      </w:r>
      <w:bookmarkEnd w:id="1"/>
    </w:p>
    <w:sectPr w:rsidR="003210DE" w:rsidRPr="00AE4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4B9E7" w14:textId="77777777" w:rsidR="00AD7DFC" w:rsidRDefault="00AD7DFC" w:rsidP="00AE4980">
      <w:pPr>
        <w:spacing w:line="240" w:lineRule="auto"/>
      </w:pPr>
      <w:r>
        <w:separator/>
      </w:r>
    </w:p>
  </w:endnote>
  <w:endnote w:type="continuationSeparator" w:id="0">
    <w:p w14:paraId="6F52E70F" w14:textId="77777777" w:rsidR="00AD7DFC" w:rsidRDefault="00AD7DFC" w:rsidP="00AE49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988E2" w14:textId="77777777" w:rsidR="00AD7DFC" w:rsidRDefault="00AD7DFC" w:rsidP="00AE4980">
      <w:pPr>
        <w:spacing w:line="240" w:lineRule="auto"/>
      </w:pPr>
      <w:r>
        <w:separator/>
      </w:r>
    </w:p>
  </w:footnote>
  <w:footnote w:type="continuationSeparator" w:id="0">
    <w:p w14:paraId="5A26A10A" w14:textId="77777777" w:rsidR="00AD7DFC" w:rsidRDefault="00AD7DFC" w:rsidP="00AE498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69"/>
    <w:rsid w:val="0005506A"/>
    <w:rsid w:val="000C47AB"/>
    <w:rsid w:val="003210DE"/>
    <w:rsid w:val="00324BA3"/>
    <w:rsid w:val="00A40A5E"/>
    <w:rsid w:val="00AC4F1B"/>
    <w:rsid w:val="00AD7DFC"/>
    <w:rsid w:val="00AE4980"/>
    <w:rsid w:val="00E2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6878B"/>
  <w15:chartTrackingRefBased/>
  <w15:docId w15:val="{F9075808-E02E-4ADA-B003-98B10D4F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980"/>
    <w:pPr>
      <w:spacing w:after="0" w:line="26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980"/>
    <w:pPr>
      <w:widowControl w:val="0"/>
      <w:tabs>
        <w:tab w:val="center" w:pos="4153"/>
        <w:tab w:val="right" w:pos="8306"/>
      </w:tabs>
      <w:snapToGrid w:val="0"/>
      <w:spacing w:after="160"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AE49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980"/>
    <w:pPr>
      <w:widowControl w:val="0"/>
      <w:tabs>
        <w:tab w:val="center" w:pos="4153"/>
        <w:tab w:val="right" w:pos="8306"/>
      </w:tabs>
      <w:snapToGrid w:val="0"/>
      <w:spacing w:after="160" w:line="240" w:lineRule="auto"/>
      <w:jc w:val="left"/>
    </w:pPr>
    <w:rPr>
      <w:rFonts w:asciiTheme="minorHAnsi" w:eastAsiaTheme="minorEastAsia" w:hAnsiTheme="minorHAnsi" w:cstheme="minorBidi"/>
      <w:color w:val="auto"/>
      <w:kern w:val="2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AE4980"/>
    <w:rPr>
      <w:sz w:val="18"/>
      <w:szCs w:val="18"/>
    </w:rPr>
  </w:style>
  <w:style w:type="paragraph" w:customStyle="1" w:styleId="MDPI31text">
    <w:name w:val="MDPI_3.1_text"/>
    <w:qFormat/>
    <w:rsid w:val="00AE4980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2"/>
      <w:lang w:eastAsia="de-DE" w:bidi="en-US"/>
      <w14:ligatures w14:val="none"/>
    </w:rPr>
  </w:style>
  <w:style w:type="table" w:customStyle="1" w:styleId="10">
    <w:name w:val="网格型10"/>
    <w:basedOn w:val="a1"/>
    <w:uiPriority w:val="59"/>
    <w:qFormat/>
    <w:rsid w:val="00AE4980"/>
    <w:pPr>
      <w:spacing w:after="0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uiPriority w:val="59"/>
    <w:qFormat/>
    <w:rsid w:val="00AE4980"/>
    <w:pPr>
      <w:spacing w:after="0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银花 田</dc:creator>
  <cp:keywords/>
  <dc:description/>
  <cp:lastModifiedBy>银花 田</cp:lastModifiedBy>
  <cp:revision>3</cp:revision>
  <dcterms:created xsi:type="dcterms:W3CDTF">2024-08-04T09:33:00Z</dcterms:created>
  <dcterms:modified xsi:type="dcterms:W3CDTF">2024-08-05T03:28:00Z</dcterms:modified>
</cp:coreProperties>
</file>