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3A8A"/>
          <w:sz w:val="32"/>
        </w:rPr>
        <w:t>VISHVESHWARYA GROUP OF INSTITUTIONS</w:t>
        <w:br/>
      </w:r>
      <w:r>
        <w:rPr>
          <w:rFonts w:ascii="Calibri" w:hAnsi="Calibri"/>
          <w:color w:val="64748B"/>
          <w:sz w:val="17"/>
        </w:rPr>
        <w:t>Affiliated to AKTU, Lucknow (U.P) | CCS University, Meerut (U.P)</w:t>
        <w:br/>
        <w:t>Technical Campus Approved by AICTE / UGC / PCI / BTE / BCI | Ministry of Education, Govt. of India</w:t>
        <w:br/>
      </w:r>
      <w:r>
        <w:rPr>
          <w:rFonts w:ascii="Calibri" w:hAnsi="Calibri"/>
          <w:b/>
          <w:color w:val="475569"/>
          <w:sz w:val="19"/>
        </w:rPr>
        <w:t>UPCOMING VISHVESHWARYA UNIVERSITY</w:t>
        <w:br/>
      </w:r>
    </w:p>
    <w:p>
      <w:pPr>
        <w:spacing w:before="40" w:after="280"/>
        <w:jc w:val="center"/>
      </w:pPr>
      <w:r>
        <w:rPr>
          <w:color w:val="CBD5E1"/>
        </w:rPr>
        <w:t>――――――――――――――――――――――――――――――――――――――――――――――――――――――――――</w:t>
      </w:r>
    </w:p>
    <w:p>
      <w:pPr>
        <w:spacing w:before="80" w:after="80"/>
        <w:jc w:val="center"/>
      </w:pPr>
      <w:r>
        <w:rPr>
          <w:rFonts w:ascii="Calibri" w:hAnsi="Calibri"/>
          <w:b/>
          <w:color w:val="0F172A"/>
          <w:sz w:val="36"/>
        </w:rPr>
        <w:t>INTERNSHIP WORKING &amp; PROGRESS REPORT</w:t>
        <w:br/>
      </w:r>
      <w:r>
        <w:rPr>
          <w:rFonts w:ascii="Calibri" w:hAnsi="Calibri"/>
          <w:b/>
          <w:color w:val="2563EB"/>
          <w:sz w:val="24"/>
        </w:rPr>
        <w:t>Data Science &amp; Analytics Engineering Track</w:t>
        <w:br/>
        <w:t>Project FORESIGHT — Demand &amp; Inventory Intelligence Platform</w:t>
      </w:r>
    </w:p>
    <w:p>
      <w:pPr>
        <w:spacing w:before="240" w:after="320" w:line="300" w:lineRule="auto"/>
      </w:pPr>
      <w:r>
        <w:rPr>
          <w:rFonts w:ascii="Calibri" w:hAnsi="Calibri"/>
          <w:b/>
          <w:color w:val="0F172A"/>
          <w:sz w:val="20"/>
        </w:rPr>
        <w:t>Host Organization:</w:t>
      </w:r>
      <w:r>
        <w:rPr>
          <w:rFonts w:ascii="Calibri" w:hAnsi="Calibri"/>
          <w:color w:val="334155"/>
          <w:sz w:val="20"/>
        </w:rPr>
        <w:t xml:space="preserve"> Zidio Development (Data Science &amp; Analytics Engineering Team)</w:t>
        <w:br/>
      </w:r>
      <w:r>
        <w:rPr>
          <w:rFonts w:ascii="Calibri" w:hAnsi="Calibri"/>
          <w:b/>
          <w:color w:val="0F172A"/>
          <w:sz w:val="20"/>
        </w:rPr>
        <w:t>Client Engagement:</w:t>
      </w:r>
      <w:r>
        <w:rPr>
          <w:rFonts w:ascii="Calibri" w:hAnsi="Calibri"/>
          <w:color w:val="334155"/>
          <w:sz w:val="20"/>
        </w:rPr>
        <w:t xml:space="preserve"> NorthBay Living — Direct-to-Consumer (D2C) Home &amp; Lifestyle Brand</w:t>
        <w:br/>
      </w:r>
      <w:r>
        <w:rPr>
          <w:rFonts w:ascii="Calibri" w:hAnsi="Calibri"/>
          <w:b/>
          <w:color w:val="0F172A"/>
          <w:sz w:val="20"/>
        </w:rPr>
        <w:t>Submitted by:</w:t>
      </w:r>
      <w:r>
        <w:rPr>
          <w:rFonts w:ascii="Calibri" w:hAnsi="Calibri"/>
          <w:color w:val="334155"/>
          <w:sz w:val="20"/>
        </w:rPr>
        <w:t xml:space="preserve"> Ashit Upadhyay</w:t>
        <w:br/>
      </w:r>
      <w:r>
        <w:rPr>
          <w:rFonts w:ascii="Calibri" w:hAnsi="Calibri"/>
          <w:b/>
          <w:color w:val="0F172A"/>
          <w:sz w:val="20"/>
        </w:rPr>
        <w:t>Program / Branch:</w:t>
      </w:r>
      <w:r>
        <w:rPr>
          <w:rFonts w:ascii="Calibri" w:hAnsi="Calibri"/>
          <w:color w:val="334155"/>
          <w:sz w:val="20"/>
        </w:rPr>
        <w:t xml:space="preserve"> B.Tech — Computer Science &amp; Engineering (AIML)</w:t>
        <w:br/>
      </w:r>
      <w:r>
        <w:rPr>
          <w:rFonts w:ascii="Calibri" w:hAnsi="Calibri"/>
          <w:b/>
          <w:color w:val="0F172A"/>
          <w:sz w:val="20"/>
        </w:rPr>
        <w:t>Submitted to:</w:t>
      </w:r>
      <w:r>
        <w:rPr>
          <w:rFonts w:ascii="Calibri" w:hAnsi="Calibri"/>
          <w:color w:val="334155"/>
          <w:sz w:val="20"/>
        </w:rPr>
        <w:t xml:space="preserve"> Department of Computer Science &amp; Engineering, Vishveshwarya Group of Institutions</w:t>
        <w:br/>
      </w:r>
      <w:r>
        <w:rPr>
          <w:rFonts w:ascii="Calibri" w:hAnsi="Calibri"/>
          <w:b/>
          <w:color w:val="0F172A"/>
          <w:sz w:val="20"/>
        </w:rPr>
        <w:t>Internship Status:</w:t>
      </w:r>
      <w:r>
        <w:rPr>
          <w:rFonts w:ascii="Calibri" w:hAnsi="Calibri"/>
          <w:color w:val="334155"/>
          <w:sz w:val="20"/>
        </w:rPr>
        <w:t xml:space="preserve"> Currently Working / Ongoing Client Engagement Project</w:t>
        <w:br/>
      </w:r>
      <w:r>
        <w:rPr>
          <w:rFonts w:ascii="Calibri" w:hAnsi="Calibri"/>
          <w:b/>
          <w:color w:val="0F172A"/>
          <w:sz w:val="20"/>
        </w:rPr>
        <w:t>Engagement Duration:</w:t>
      </w:r>
      <w:r>
        <w:rPr>
          <w:rFonts w:ascii="Calibri" w:hAnsi="Calibri"/>
          <w:color w:val="334155"/>
          <w:sz w:val="20"/>
        </w:rPr>
        <w:t xml:space="preserve"> 4-Week Intensive Industry Engagement (Phase 1 to Phase 8 Track)</w:t>
        <w:br/>
      </w:r>
      <w:r>
        <w:rPr>
          <w:rFonts w:ascii="Calibri" w:hAnsi="Calibri"/>
          <w:b/>
          <w:color w:val="0F172A"/>
          <w:sz w:val="20"/>
        </w:rPr>
        <w:t>Current Submission Date:</w:t>
      </w:r>
      <w:r>
        <w:rPr>
          <w:rFonts w:ascii="Calibri" w:hAnsi="Calibri"/>
          <w:color w:val="334155"/>
          <w:sz w:val="20"/>
        </w:rPr>
        <w:t xml:space="preserve"> October 2026</w:t>
        <w:br/>
      </w:r>
      <w:r>
        <w:rPr>
          <w:rFonts w:ascii="Calibri" w:hAnsi="Calibri"/>
          <w:b/>
          <w:color w:val="0F172A"/>
          <w:sz w:val="20"/>
        </w:rPr>
        <w:t>GitHub Repository:</w:t>
      </w:r>
      <w:r>
        <w:rPr>
          <w:rFonts w:ascii="Calibri" w:hAnsi="Calibri"/>
          <w:color w:val="334155"/>
          <w:sz w:val="20"/>
        </w:rPr>
        <w:t xml:space="preserve"> https://github.com/codexboy0417/demand-inventory-intelligence.git</w:t>
        <w:br/>
      </w:r>
    </w:p>
    <w:p>
      <w:pPr>
        <w:pStyle w:val="Heading2"/>
        <w:keepNext/>
        <w:spacing w:before="280" w:after="120"/>
      </w:pPr>
      <w:r>
        <w:rPr>
          <w:rFonts w:ascii="Calibri" w:hAnsi="Calibri"/>
          <w:b/>
          <w:color w:val="1E3A8A"/>
          <w:sz w:val="26"/>
        </w:rPr>
        <w:t>Declaration</w:t>
      </w:r>
    </w:p>
    <w:p>
      <w:pPr>
        <w:spacing w:before="40" w:after="160" w:line="276" w:lineRule="auto"/>
      </w:pPr>
      <w:r>
        <w:rPr>
          <w:rFonts w:ascii="Calibri" w:hAnsi="Calibri"/>
          <w:color w:val="334155"/>
          <w:sz w:val="20"/>
        </w:rPr>
        <w:t>I, Ashit Upadhyay, hereby declare that this report is a true, authentic, and accurate record of the industrial internship I am actively pursuing at Zidio Development on the client account NorthBay Living. The project architecture, data engineering pipelines, forecasting models, inventory risk scoring engine, and interactive software artifacts described in this document represent my original work and active engineering contributions, developed under the mentorship and guidance of the technical leads at Zidio Development.</w:t>
      </w:r>
    </w:p>
    <w:p>
      <w:pPr>
        <w:spacing w:before="240" w:after="360"/>
      </w:pPr>
      <w:r>
        <w:rPr>
          <w:rFonts w:ascii="Calibri" w:hAnsi="Calibri"/>
          <w:b/>
          <w:sz w:val="20"/>
        </w:rPr>
        <w:t>Signature: __________________________                    Date: __________________________</w:t>
        <w:br/>
      </w:r>
      <w:r>
        <w:rPr>
          <w:rFonts w:ascii="Calibri" w:hAnsi="Calibri"/>
          <w:color w:val="64748B"/>
          <w:sz w:val="19"/>
        </w:rPr>
        <w:t>Ashit Upadhyay (Student Intern)                           Vishveshwarya Group of Institutions</w:t>
      </w:r>
    </w:p>
    <w:p>
      <w:pPr>
        <w:pStyle w:val="Heading2"/>
        <w:keepNext/>
        <w:spacing w:before="280" w:after="120"/>
      </w:pPr>
      <w:r>
        <w:rPr>
          <w:rFonts w:ascii="Calibri" w:hAnsi="Calibri"/>
          <w:b/>
          <w:color w:val="1E3A8A"/>
          <w:sz w:val="26"/>
        </w:rPr>
        <w:t>Acknowledgement</w:t>
      </w:r>
    </w:p>
    <w:p>
      <w:pPr>
        <w:spacing w:before="40" w:after="280" w:line="276" w:lineRule="auto"/>
      </w:pPr>
      <w:r>
        <w:rPr>
          <w:rFonts w:ascii="Calibri" w:hAnsi="Calibri"/>
          <w:color w:val="334155"/>
          <w:sz w:val="20"/>
        </w:rPr>
        <w:t>I express my sincere gratitude to the Leadership and Technical Mentorship Team at Zidio Development for granting me the opportunity to work as a Data Scientist on a live client engagement for NorthBay Living. The professional mentorship, weekly technical checkpoints, and rigorous rubric-based code reviews have been invaluable in bridging the gap between academic theory and production-grade software delivery. I also extend my heartfelt thanks to the Head of Department, faculty members, and training coordinators at Vishveshwarya Group of Institutions for their continuous encouragement, academic support, and approval of this valuable internship experience.</w:t>
      </w:r>
    </w:p>
    <w:p>
      <w:pPr>
        <w:pStyle w:val="Heading1"/>
        <w:keepNext/>
        <w:spacing w:before="280" w:after="120"/>
      </w:pPr>
      <w:r>
        <w:rPr>
          <w:rFonts w:ascii="Calibri" w:hAnsi="Calibri"/>
          <w:b/>
          <w:color w:val="0F172A"/>
          <w:sz w:val="30"/>
        </w:rPr>
        <w:t>1. Executive Summary</w:t>
      </w:r>
    </w:p>
    <w:p>
      <w:pPr>
        <w:spacing w:line="276" w:lineRule="auto" w:after="160"/>
      </w:pPr>
      <w:r>
        <w:t>As part of my Data Science &amp; Analytics internship at Zidio Development, I am placed on an active commercial client engagement: Project FORESIGHT (Demand &amp; Inventory Intelligence). The client, NorthBay Living, is a fast-growing Direct-to-Consumer (D2C) home, decor, and lifestyle brand managing ~200 active SKUs shipped from a single fulfillment center. Historically, the brand planned inventory using gut feel and static spreadsheets. This created a dual failure mode: best-selling velocity items frequently stocked out (causing unrecoverable revenue loss and customer dissatisfaction), while slow-moving products piled up in warehouse racks (trapping crucial working capital and forcing margin-diluting markdowns).</w:t>
      </w:r>
    </w:p>
    <w:p>
      <w:pPr>
        <w:spacing w:line="276" w:lineRule="auto" w:after="160"/>
      </w:pPr>
      <w:r>
        <w:t>My work centers on building an end-to-end, production-ready analytics product that turns raw transactional extracts into weekly SKU-level demand forecasts and an automated risk-scoring early-warning system. The system has been designed across five core functional pillars:</w:t>
      </w:r>
    </w:p>
    <w:p>
      <w:pPr>
        <w:pStyle w:val="ListBullet"/>
        <w:spacing w:after="80" w:line="276" w:lineRule="auto"/>
      </w:pPr>
      <w:r>
        <w:rPr>
          <w:rFonts w:ascii="Calibri" w:hAnsi="Calibri"/>
          <w:b/>
          <w:color w:val="0F172A"/>
        </w:rPr>
        <w:t xml:space="preserve">1. Data Engineering &amp; Star Schema Ingestion: </w:t>
      </w:r>
      <w:r>
        <w:rPr>
          <w:rFonts w:ascii="Calibri" w:hAnsi="Calibri"/>
          <w:color w:val="334155"/>
        </w:rPr>
        <w:t>Processing over 1,067,371 raw transaction records across 2 full years (2009–2011) and 5,305 SKUs, constructing a clean 4-table Star Schema (sales_daily, sku_master, calendar, inventory_snapshots).</w:t>
      </w:r>
    </w:p>
    <w:p>
      <w:pPr>
        <w:pStyle w:val="ListBullet"/>
        <w:spacing w:after="80" w:line="276" w:lineRule="auto"/>
      </w:pPr>
      <w:r>
        <w:rPr>
          <w:rFonts w:ascii="Calibri" w:hAnsi="Calibri"/>
          <w:b/>
          <w:color w:val="0F172A"/>
        </w:rPr>
        <w:t xml:space="preserve">2. Exploratory Data Analysis &amp; Behavioral Mining: </w:t>
      </w:r>
      <w:r>
        <w:rPr>
          <w:rFonts w:ascii="Calibri" w:hAnsi="Calibri"/>
          <w:color w:val="334155"/>
        </w:rPr>
        <w:t>Quantifying the 80/20 Pareto volume distribution (top 15% SKUs generate 68% of sales volume), identifying severe Q4 holiday seasonality surges (38% of annual revenue), and detecting dormant dead stock.</w:t>
      </w:r>
    </w:p>
    <w:p>
      <w:pPr>
        <w:pStyle w:val="ListBullet"/>
        <w:spacing w:after="80" w:line="276" w:lineRule="auto"/>
      </w:pPr>
      <w:r>
        <w:rPr>
          <w:rFonts w:ascii="Calibri" w:hAnsi="Calibri"/>
          <w:b/>
          <w:color w:val="0F172A"/>
        </w:rPr>
        <w:t xml:space="preserve">3. Machine Learning Demand Forecasting: </w:t>
      </w:r>
      <w:r>
        <w:rPr>
          <w:rFonts w:ascii="Calibri" w:hAnsi="Calibri"/>
          <w:color w:val="334155"/>
        </w:rPr>
        <w:t>Engineering strictly shifted temporal lags and rolling statistics to prevent lookahead leakage, evaluating Seasonal-Naive, Random Forest, XGBoost, and LightGBM models via 4-fold Rolling-Origin Cross-Validation. LightGBM earned model selection with an out-of-sample WAPE of 72.9% (+34.9% error reduction over baseline).</w:t>
      </w:r>
    </w:p>
    <w:p>
      <w:pPr>
        <w:pStyle w:val="ListBullet"/>
        <w:spacing w:after="80" w:line="276" w:lineRule="auto"/>
      </w:pPr>
      <w:r>
        <w:rPr>
          <w:rFonts w:ascii="Calibri" w:hAnsi="Calibri"/>
          <w:b/>
          <w:color w:val="0F172A"/>
        </w:rPr>
        <w:t xml:space="preserve">4. Inventory Risk Scoring &amp; 2x2 Decision Matrix: </w:t>
      </w:r>
      <w:r>
        <w:rPr>
          <w:rFonts w:ascii="Calibri" w:hAnsi="Calibri"/>
          <w:color w:val="334155"/>
        </w:rPr>
        <w:t>Decoupling probabilistic demand forecasts from warehouse inventory physics to build an explainable 2x2 Decision Grid (Reorder Now, Markdown / Clear, Watch / Volatile, Healthy) with exact rupee-level financial risk quantification.</w:t>
      </w:r>
    </w:p>
    <w:p>
      <w:pPr>
        <w:pStyle w:val="ListBullet"/>
        <w:spacing w:after="80" w:line="276" w:lineRule="auto"/>
      </w:pPr>
      <w:r>
        <w:rPr>
          <w:rFonts w:ascii="Calibri" w:hAnsi="Calibri"/>
          <w:b/>
          <w:color w:val="0F172A"/>
        </w:rPr>
        <w:t xml:space="preserve">5. Productization &amp; Cloud Serving: </w:t>
      </w:r>
      <w:r>
        <w:rPr>
          <w:rFonts w:ascii="Calibri" w:hAnsi="Calibri"/>
          <w:color w:val="334155"/>
        </w:rPr>
        <w:t>Packaging the intelligence stack into a 7-Page Streamlit Planning Dashboard and a live FastAPI REST scoring microservice with automated Swagger documentation.</w:t>
      </w:r>
    </w:p>
    <w:tbl>
      <w:tblPr>
        <w:tblW w:type="auto" w:w="0"/>
        <w:jc w:val="center"/>
        <w:tblLayout w:type="fixed"/>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top w:val="none"/>
              <w:left w:val="single" w:sz="24" w:space="0" w:color="16A34A"/>
              <w:bottom w:val="none"/>
              <w:right w:val="none"/>
            </w:tcBorders>
          </w:tcPr>
          <w:p>
            <w:pPr>
              <w:spacing w:before="40" w:after="80"/>
            </w:pPr>
            <w:r>
              <w:rPr>
                <w:rFonts w:ascii="Calibri" w:hAnsi="Calibri"/>
                <w:b/>
                <w:color w:val="0F172A"/>
                <w:sz w:val="21"/>
              </w:rPr>
              <w:t>Headline Key Performance Indicators (KPIs) Achieved to Date:</w:t>
              <w:br/>
            </w:r>
            <w:r>
              <w:rPr>
                <w:rFonts w:ascii="Calibri" w:hAnsi="Calibri"/>
                <w:color w:val="334155"/>
                <w:sz w:val="19"/>
              </w:rPr>
              <w:t>• Data Volume Processed: 1,067,371 raw transactions | 5,305 SKUs | 2 Full Operational Years</w:t>
              <w:br/>
              <w:t>• Machine Learning Forecast Accuracy: 72.9% Out-of-Sample WAPE (LightGBM) vs 107.8% (Seasonal-Naive Baseline)</w:t>
              <w:br/>
              <w:t>• Accuracy Lift Over Client Baseline: +34.9% WAPE Error Reduction</w:t>
              <w:br/>
              <w:t>• Financial Exposure Identified: ₹1,002,813.06 Total Financial Value at Stake</w:t>
              <w:br/>
              <w:t>• Working Capital Trapped in Overstock: ₹1,000,800.85 (45 SKUs flagged for immediate clearance discounting)</w:t>
              <w:br/>
              <w:t>• Revenue Protected from Stockouts: ₹2,012.21 (1 SKU flagged for immediate PO replenishment)</w:t>
              <w:br/>
              <w:t>• Software Deliverables: 7-Page Interactive Streamlit UI + FastAPI REST Service + Complete Jupyter Notebook</w:t>
            </w:r>
          </w:p>
        </w:tc>
      </w:tr>
    </w:tbl>
    <w:p>
      <w:pPr>
        <w:spacing w:before="40" w:after="80"/>
      </w:pPr>
    </w:p>
    <w:p>
      <w:pPr>
        <w:pStyle w:val="Heading1"/>
        <w:keepNext/>
        <w:spacing w:before="280" w:after="120"/>
      </w:pPr>
      <w:r>
        <w:rPr>
          <w:rFonts w:ascii="Calibri" w:hAnsi="Calibri"/>
          <w:b/>
          <w:color w:val="0F172A"/>
          <w:sz w:val="30"/>
        </w:rPr>
        <w:t>2. Host Organization &amp; Program Governance</w:t>
      </w:r>
    </w:p>
    <w:p>
      <w:pPr>
        <w:spacing w:line="276" w:lineRule="auto" w:after="160"/>
      </w:pPr>
      <w:r>
        <w:t>Zidio Development operates an experiential learning and engineering consultancy platform that deploys student data scientists onto real-world client engagements. Unlike academic coursework, interns are held to professional client standards: solving business-critical problems, working against acceptance criteria, ensuring reproducibility, and presenting to non-technical stakeholders.</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1E293B"/>
            <w:tcMar>
              <w:top w:w="120" w:type="dxa"/>
              <w:bottom w:w="120" w:type="dxa"/>
              <w:left w:w="140" w:type="dxa"/>
              <w:right w:w="140" w:type="dxa"/>
            </w:tcMar>
          </w:tcPr>
          <w:p>
            <w:pPr>
              <w:spacing w:before="40" w:after="40"/>
              <w:jc w:val="left"/>
            </w:pPr>
            <w:r>
              <w:rPr>
                <w:rFonts w:ascii="Calibri" w:hAnsi="Calibri"/>
                <w:b/>
                <w:color w:val="FFFFFF"/>
                <w:sz w:val="19"/>
              </w:rPr>
              <w:t>Role / Title</w:t>
            </w:r>
          </w:p>
        </w:tc>
        <w:tc>
          <w:tcPr>
            <w:tcW w:type="dxa" w:w="2880"/>
            <w:shd w:fill="1E293B"/>
            <w:tcMar>
              <w:top w:w="120" w:type="dxa"/>
              <w:bottom w:w="120" w:type="dxa"/>
              <w:left w:w="140" w:type="dxa"/>
              <w:right w:w="140" w:type="dxa"/>
            </w:tcMar>
          </w:tcPr>
          <w:p>
            <w:pPr>
              <w:spacing w:before="40" w:after="40"/>
              <w:jc w:val="left"/>
            </w:pPr>
            <w:r>
              <w:rPr>
                <w:rFonts w:ascii="Calibri" w:hAnsi="Calibri"/>
                <w:b/>
                <w:color w:val="FFFFFF"/>
                <w:sz w:val="19"/>
              </w:rPr>
              <w:t>Stakeholder &amp; Entity</w:t>
            </w:r>
          </w:p>
        </w:tc>
        <w:tc>
          <w:tcPr>
            <w:tcW w:type="dxa" w:w="4752"/>
            <w:shd w:fill="1E293B"/>
            <w:tcMar>
              <w:top w:w="120" w:type="dxa"/>
              <w:bottom w:w="120" w:type="dxa"/>
              <w:left w:w="140" w:type="dxa"/>
              <w:right w:w="140" w:type="dxa"/>
            </w:tcMar>
          </w:tcPr>
          <w:p>
            <w:pPr>
              <w:spacing w:before="40" w:after="40"/>
              <w:jc w:val="left"/>
            </w:pPr>
            <w:r>
              <w:rPr>
                <w:rFonts w:ascii="Calibri" w:hAnsi="Calibri"/>
                <w:b/>
                <w:color w:val="FFFFFF"/>
                <w:sz w:val="19"/>
              </w:rPr>
              <w:t>Business Focus &amp; Responsibility</w:t>
            </w:r>
          </w:p>
        </w:tc>
      </w:tr>
      <w:tr>
        <w:tc>
          <w:tcPr>
            <w:tcW w:type="dxa" w:w="2160"/>
            <w:shd w:fill="FFFFFF"/>
            <w:tcMar>
              <w:top w:w="90" w:type="dxa"/>
              <w:bottom w:w="90" w:type="dxa"/>
              <w:left w:w="130" w:type="dxa"/>
              <w:right w:w="130" w:type="dxa"/>
            </w:tcMar>
          </w:tcPr>
          <w:p>
            <w:pPr>
              <w:spacing w:before="30" w:after="30"/>
              <w:jc w:val="left"/>
            </w:pPr>
            <w:r>
              <w:rPr>
                <w:rFonts w:ascii="Calibri" w:hAnsi="Calibri"/>
                <w:color w:val="1E293B"/>
                <w:sz w:val="18"/>
              </w:rPr>
              <w:t>Primary Client</w:t>
            </w:r>
          </w:p>
        </w:tc>
        <w:tc>
          <w:tcPr>
            <w:tcW w:type="dxa" w:w="2880"/>
            <w:shd w:fill="FFFFFF"/>
            <w:tcMar>
              <w:top w:w="90" w:type="dxa"/>
              <w:bottom w:w="90" w:type="dxa"/>
              <w:left w:w="130" w:type="dxa"/>
              <w:right w:w="130" w:type="dxa"/>
            </w:tcMar>
          </w:tcPr>
          <w:p>
            <w:pPr>
              <w:spacing w:before="30" w:after="30"/>
              <w:jc w:val="left"/>
            </w:pPr>
            <w:r>
              <w:rPr>
                <w:rFonts w:ascii="Calibri" w:hAnsi="Calibri"/>
                <w:color w:val="1E293B"/>
                <w:sz w:val="18"/>
              </w:rPr>
              <w:t>Head of Operations (NorthBay Living)</w:t>
            </w:r>
          </w:p>
        </w:tc>
        <w:tc>
          <w:tcPr>
            <w:tcW w:type="dxa" w:w="4752"/>
            <w:shd w:fill="FFFFFF"/>
            <w:tcMar>
              <w:top w:w="90" w:type="dxa"/>
              <w:bottom w:w="90" w:type="dxa"/>
              <w:left w:w="130" w:type="dxa"/>
              <w:right w:w="130" w:type="dxa"/>
            </w:tcMar>
          </w:tcPr>
          <w:p>
            <w:pPr>
              <w:spacing w:before="30" w:after="30"/>
              <w:jc w:val="left"/>
            </w:pPr>
            <w:r>
              <w:rPr>
                <w:rFonts w:ascii="Calibri" w:hAnsi="Calibri"/>
                <w:color w:val="1E293B"/>
                <w:sz w:val="18"/>
              </w:rPr>
              <w:t>Wants reliable reorder/markdown guidance to prevent warehouse stockouts.</w:t>
            </w:r>
          </w:p>
        </w:tc>
      </w:tr>
      <w:tr>
        <w:tc>
          <w:tcPr>
            <w:tcW w:type="dxa" w:w="2160"/>
            <w:shd w:fill="F8FAFC"/>
            <w:tcMar>
              <w:top w:w="90" w:type="dxa"/>
              <w:bottom w:w="90" w:type="dxa"/>
              <w:left w:w="130" w:type="dxa"/>
              <w:right w:w="130" w:type="dxa"/>
            </w:tcMar>
          </w:tcPr>
          <w:p>
            <w:pPr>
              <w:spacing w:before="30" w:after="30"/>
              <w:jc w:val="left"/>
            </w:pPr>
            <w:r>
              <w:rPr>
                <w:rFonts w:ascii="Calibri" w:hAnsi="Calibri"/>
                <w:color w:val="1E293B"/>
                <w:sz w:val="18"/>
              </w:rPr>
              <w:t>Merchandiser</w:t>
            </w:r>
          </w:p>
        </w:tc>
        <w:tc>
          <w:tcPr>
            <w:tcW w:type="dxa" w:w="2880"/>
            <w:shd w:fill="F8FAFC"/>
            <w:tcMar>
              <w:top w:w="90" w:type="dxa"/>
              <w:bottom w:w="90" w:type="dxa"/>
              <w:left w:w="130" w:type="dxa"/>
              <w:right w:w="130" w:type="dxa"/>
            </w:tcMar>
          </w:tcPr>
          <w:p>
            <w:pPr>
              <w:spacing w:before="30" w:after="30"/>
              <w:jc w:val="left"/>
            </w:pPr>
            <w:r>
              <w:rPr>
                <w:rFonts w:ascii="Calibri" w:hAnsi="Calibri"/>
                <w:color w:val="1E293B"/>
                <w:sz w:val="18"/>
              </w:rPr>
              <w:t>Merchandising Lead (NorthBay Living)</w:t>
            </w:r>
          </w:p>
        </w:tc>
        <w:tc>
          <w:tcPr>
            <w:tcW w:type="dxa" w:w="4752"/>
            <w:shd w:fill="F8FAFC"/>
            <w:tcMar>
              <w:top w:w="90" w:type="dxa"/>
              <w:bottom w:w="90" w:type="dxa"/>
              <w:left w:w="130" w:type="dxa"/>
              <w:right w:w="130" w:type="dxa"/>
            </w:tcMar>
          </w:tcPr>
          <w:p>
            <w:pPr>
              <w:spacing w:before="30" w:after="30"/>
              <w:jc w:val="left"/>
            </w:pPr>
            <w:r>
              <w:rPr>
                <w:rFonts w:ascii="Calibri" w:hAnsi="Calibri"/>
                <w:color w:val="1E293B"/>
                <w:sz w:val="18"/>
              </w:rPr>
              <w:t>Decides catalog promotions, discounts, and slow-moving item clearances.</w:t>
            </w:r>
          </w:p>
        </w:tc>
      </w:tr>
      <w:tr>
        <w:tc>
          <w:tcPr>
            <w:tcW w:type="dxa" w:w="2160"/>
            <w:shd w:fill="FFFFFF"/>
            <w:tcMar>
              <w:top w:w="90" w:type="dxa"/>
              <w:bottom w:w="90" w:type="dxa"/>
              <w:left w:w="130" w:type="dxa"/>
              <w:right w:w="130" w:type="dxa"/>
            </w:tcMar>
          </w:tcPr>
          <w:p>
            <w:pPr>
              <w:spacing w:before="30" w:after="30"/>
              <w:jc w:val="left"/>
            </w:pPr>
            <w:r>
              <w:rPr>
                <w:rFonts w:ascii="Calibri" w:hAnsi="Calibri"/>
                <w:color w:val="1E293B"/>
                <w:sz w:val="18"/>
              </w:rPr>
              <w:t>Finance Lead</w:t>
            </w:r>
          </w:p>
        </w:tc>
        <w:tc>
          <w:tcPr>
            <w:tcW w:type="dxa" w:w="2880"/>
            <w:shd w:fill="FFFFFF"/>
            <w:tcMar>
              <w:top w:w="90" w:type="dxa"/>
              <w:bottom w:w="90" w:type="dxa"/>
              <w:left w:w="130" w:type="dxa"/>
              <w:right w:w="130" w:type="dxa"/>
            </w:tcMar>
          </w:tcPr>
          <w:p>
            <w:pPr>
              <w:spacing w:before="30" w:after="30"/>
              <w:jc w:val="left"/>
            </w:pPr>
            <w:r>
              <w:rPr>
                <w:rFonts w:ascii="Calibri" w:hAnsi="Calibri"/>
                <w:color w:val="1E293B"/>
                <w:sz w:val="18"/>
              </w:rPr>
              <w:t>Finance Lead (NorthBay Living)</w:t>
            </w:r>
          </w:p>
        </w:tc>
        <w:tc>
          <w:tcPr>
            <w:tcW w:type="dxa" w:w="4752"/>
            <w:shd w:fill="FFFFFF"/>
            <w:tcMar>
              <w:top w:w="90" w:type="dxa"/>
              <w:bottom w:w="90" w:type="dxa"/>
              <w:left w:w="130" w:type="dxa"/>
              <w:right w:w="130" w:type="dxa"/>
            </w:tcMar>
          </w:tcPr>
          <w:p>
            <w:pPr>
              <w:spacing w:before="30" w:after="30"/>
              <w:jc w:val="left"/>
            </w:pPr>
            <w:r>
              <w:rPr>
                <w:rFonts w:ascii="Calibri" w:hAnsi="Calibri"/>
                <w:color w:val="1E293B"/>
                <w:sz w:val="18"/>
              </w:rPr>
              <w:t>Focused on working capital protection, inventory holding costs, and ₹ margin impact.</w:t>
            </w:r>
          </w:p>
        </w:tc>
      </w:tr>
      <w:tr>
        <w:tc>
          <w:tcPr>
            <w:tcW w:type="dxa" w:w="2160"/>
            <w:shd w:fill="F8FAFC"/>
            <w:tcMar>
              <w:top w:w="90" w:type="dxa"/>
              <w:bottom w:w="90" w:type="dxa"/>
              <w:left w:w="130" w:type="dxa"/>
              <w:right w:w="130" w:type="dxa"/>
            </w:tcMar>
          </w:tcPr>
          <w:p>
            <w:pPr>
              <w:spacing w:before="30" w:after="30"/>
              <w:jc w:val="left"/>
            </w:pPr>
            <w:r>
              <w:rPr>
                <w:rFonts w:ascii="Calibri" w:hAnsi="Calibri"/>
                <w:color w:val="1E293B"/>
                <w:sz w:val="18"/>
              </w:rPr>
              <w:t>Lead Data Scientist</w:t>
            </w:r>
          </w:p>
        </w:tc>
        <w:tc>
          <w:tcPr>
            <w:tcW w:type="dxa" w:w="2880"/>
            <w:shd w:fill="F8FAFC"/>
            <w:tcMar>
              <w:top w:w="90" w:type="dxa"/>
              <w:bottom w:w="90" w:type="dxa"/>
              <w:left w:w="130" w:type="dxa"/>
              <w:right w:w="130" w:type="dxa"/>
            </w:tcMar>
          </w:tcPr>
          <w:p>
            <w:pPr>
              <w:spacing w:before="30" w:after="30"/>
              <w:jc w:val="left"/>
            </w:pPr>
            <w:r>
              <w:rPr>
                <w:rFonts w:ascii="Calibri" w:hAnsi="Calibri"/>
                <w:color w:val="1E293B"/>
                <w:sz w:val="18"/>
              </w:rPr>
              <w:t>Ashit Upadhyay (Student Intern)</w:t>
            </w:r>
          </w:p>
        </w:tc>
        <w:tc>
          <w:tcPr>
            <w:tcW w:type="dxa" w:w="4752"/>
            <w:shd w:fill="F8FAFC"/>
            <w:tcMar>
              <w:top w:w="90" w:type="dxa"/>
              <w:bottom w:w="90" w:type="dxa"/>
              <w:left w:w="130" w:type="dxa"/>
              <w:right w:w="130" w:type="dxa"/>
            </w:tcMar>
          </w:tcPr>
          <w:p>
            <w:pPr>
              <w:spacing w:before="30" w:after="30"/>
              <w:jc w:val="left"/>
            </w:pPr>
            <w:r>
              <w:rPr>
                <w:rFonts w:ascii="Calibri" w:hAnsi="Calibri"/>
                <w:color w:val="1E293B"/>
                <w:sz w:val="18"/>
              </w:rPr>
              <w:t>Owns end-to-end data pipelines, ML modeling, risk engines, UI dashboards, and reporting.</w:t>
            </w:r>
          </w:p>
        </w:tc>
      </w:tr>
      <w:tr>
        <w:tc>
          <w:tcPr>
            <w:tcW w:type="dxa" w:w="2160"/>
            <w:shd w:fill="FFFFFF"/>
            <w:tcMar>
              <w:top w:w="90" w:type="dxa"/>
              <w:bottom w:w="90" w:type="dxa"/>
              <w:left w:w="130" w:type="dxa"/>
              <w:right w:w="130" w:type="dxa"/>
            </w:tcMar>
          </w:tcPr>
          <w:p>
            <w:pPr>
              <w:spacing w:before="30" w:after="30"/>
              <w:jc w:val="left"/>
            </w:pPr>
            <w:r>
              <w:rPr>
                <w:rFonts w:ascii="Calibri" w:hAnsi="Calibri"/>
                <w:color w:val="1E293B"/>
                <w:sz w:val="18"/>
              </w:rPr>
              <w:t>Engagement Lead</w:t>
            </w:r>
          </w:p>
        </w:tc>
        <w:tc>
          <w:tcPr>
            <w:tcW w:type="dxa" w:w="2880"/>
            <w:shd w:fill="FFFFFF"/>
            <w:tcMar>
              <w:top w:w="90" w:type="dxa"/>
              <w:bottom w:w="90" w:type="dxa"/>
              <w:left w:w="130" w:type="dxa"/>
              <w:right w:w="130" w:type="dxa"/>
            </w:tcMar>
          </w:tcPr>
          <w:p>
            <w:pPr>
              <w:spacing w:before="30" w:after="30"/>
              <w:jc w:val="left"/>
            </w:pPr>
            <w:r>
              <w:rPr>
                <w:rFonts w:ascii="Calibri" w:hAnsi="Calibri"/>
                <w:color w:val="1E293B"/>
                <w:sz w:val="18"/>
              </w:rPr>
              <w:t>Technical Mentor (Zidio Development)</w:t>
            </w:r>
          </w:p>
        </w:tc>
        <w:tc>
          <w:tcPr>
            <w:tcW w:type="dxa" w:w="4752"/>
            <w:shd w:fill="FFFFFF"/>
            <w:tcMar>
              <w:top w:w="90" w:type="dxa"/>
              <w:bottom w:w="90" w:type="dxa"/>
              <w:left w:w="130" w:type="dxa"/>
              <w:right w:w="130" w:type="dxa"/>
            </w:tcMar>
          </w:tcPr>
          <w:p>
            <w:pPr>
              <w:spacing w:before="30" w:after="30"/>
              <w:jc w:val="left"/>
            </w:pPr>
            <w:r>
              <w:rPr>
                <w:rFonts w:ascii="Calibri" w:hAnsi="Calibri"/>
                <w:color w:val="1E293B"/>
                <w:sz w:val="18"/>
              </w:rPr>
              <w:t>Client proxy overseeing weekly checkpoints, code quality, and milestone rubrics.</w:t>
            </w:r>
          </w:p>
        </w:tc>
      </w:tr>
    </w:tbl>
    <w:p>
      <w:pPr>
        <w:spacing w:before="80" w:after="120"/>
      </w:pPr>
    </w:p>
    <w:p>
      <w:pPr>
        <w:pStyle w:val="Heading2"/>
        <w:keepNext/>
        <w:spacing w:before="280" w:after="120"/>
      </w:pPr>
      <w:r>
        <w:rPr>
          <w:rFonts w:ascii="Calibri" w:hAnsi="Calibri"/>
          <w:b/>
          <w:color w:val="1E3A8A"/>
          <w:sz w:val="26"/>
        </w:rPr>
        <w:t>Governed Deliverables &amp; Acceptance Criteria (D1 to D7)</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864"/>
            <w:shd w:fill="1E293B"/>
            <w:tcMar>
              <w:top w:w="120" w:type="dxa"/>
              <w:bottom w:w="120" w:type="dxa"/>
              <w:left w:w="140" w:type="dxa"/>
              <w:right w:w="140" w:type="dxa"/>
            </w:tcMar>
          </w:tcPr>
          <w:p>
            <w:pPr>
              <w:spacing w:before="40" w:after="40"/>
              <w:jc w:val="center"/>
            </w:pPr>
            <w:r>
              <w:rPr>
                <w:rFonts w:ascii="Calibri" w:hAnsi="Calibri"/>
                <w:b/>
                <w:color w:val="FFFFFF"/>
                <w:sz w:val="19"/>
              </w:rPr>
              <w:t>Code</w:t>
            </w:r>
          </w:p>
        </w:tc>
        <w:tc>
          <w:tcPr>
            <w:tcW w:type="dxa" w:w="2592"/>
            <w:shd w:fill="1E293B"/>
            <w:tcMar>
              <w:top w:w="120" w:type="dxa"/>
              <w:bottom w:w="120" w:type="dxa"/>
              <w:left w:w="140" w:type="dxa"/>
              <w:right w:w="140" w:type="dxa"/>
            </w:tcMar>
          </w:tcPr>
          <w:p>
            <w:pPr>
              <w:spacing w:before="40" w:after="40"/>
              <w:jc w:val="left"/>
            </w:pPr>
            <w:r>
              <w:rPr>
                <w:rFonts w:ascii="Calibri" w:hAnsi="Calibri"/>
                <w:b/>
                <w:color w:val="FFFFFF"/>
                <w:sz w:val="19"/>
              </w:rPr>
              <w:t>Deliverable Name</w:t>
            </w:r>
          </w:p>
        </w:tc>
        <w:tc>
          <w:tcPr>
            <w:tcW w:type="dxa" w:w="5040"/>
            <w:shd w:fill="1E293B"/>
            <w:tcMar>
              <w:top w:w="120" w:type="dxa"/>
              <w:bottom w:w="120" w:type="dxa"/>
              <w:left w:w="140" w:type="dxa"/>
              <w:right w:w="140" w:type="dxa"/>
            </w:tcMar>
          </w:tcPr>
          <w:p>
            <w:pPr>
              <w:spacing w:before="40" w:after="40"/>
              <w:jc w:val="left"/>
            </w:pPr>
            <w:r>
              <w:rPr>
                <w:rFonts w:ascii="Calibri" w:hAnsi="Calibri"/>
                <w:b/>
                <w:color w:val="FFFFFF"/>
                <w:sz w:val="19"/>
              </w:rPr>
              <w:t>Specification &amp; Client Definition of Done</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Status</w:t>
            </w:r>
          </w:p>
        </w:tc>
      </w:tr>
      <w:tr>
        <w:tc>
          <w:tcPr>
            <w:tcW w:type="dxa" w:w="864"/>
            <w:shd w:fill="FFFFFF"/>
            <w:tcMar>
              <w:top w:w="90" w:type="dxa"/>
              <w:bottom w:w="90" w:type="dxa"/>
              <w:left w:w="130" w:type="dxa"/>
              <w:right w:w="130" w:type="dxa"/>
            </w:tcMar>
          </w:tcPr>
          <w:p>
            <w:pPr>
              <w:spacing w:before="30" w:after="30"/>
              <w:jc w:val="center"/>
            </w:pPr>
            <w:r>
              <w:rPr>
                <w:rFonts w:ascii="Calibri" w:hAnsi="Calibri"/>
                <w:color w:val="1E293B"/>
                <w:sz w:val="18"/>
              </w:rPr>
              <w:t>D1</w:t>
            </w:r>
          </w:p>
        </w:tc>
        <w:tc>
          <w:tcPr>
            <w:tcW w:type="dxa" w:w="2592"/>
            <w:shd w:fill="FFFFFF"/>
            <w:tcMar>
              <w:top w:w="90" w:type="dxa"/>
              <w:bottom w:w="90" w:type="dxa"/>
              <w:left w:w="130" w:type="dxa"/>
              <w:right w:w="130" w:type="dxa"/>
            </w:tcMar>
          </w:tcPr>
          <w:p>
            <w:pPr>
              <w:spacing w:before="30" w:after="30"/>
              <w:jc w:val="left"/>
            </w:pPr>
            <w:r>
              <w:rPr>
                <w:rFonts w:ascii="Calibri" w:hAnsi="Calibri"/>
                <w:color w:val="1E293B"/>
                <w:sz w:val="18"/>
              </w:rPr>
              <w:t>Data Pipeline</w:t>
            </w:r>
          </w:p>
        </w:tc>
        <w:tc>
          <w:tcPr>
            <w:tcW w:type="dxa" w:w="5040"/>
            <w:shd w:fill="FFFFFF"/>
            <w:tcMar>
              <w:top w:w="90" w:type="dxa"/>
              <w:bottom w:w="90" w:type="dxa"/>
              <w:left w:w="130" w:type="dxa"/>
              <w:right w:w="130" w:type="dxa"/>
            </w:tcMar>
          </w:tcPr>
          <w:p>
            <w:pPr>
              <w:spacing w:before="30" w:after="30"/>
              <w:jc w:val="left"/>
            </w:pPr>
            <w:r>
              <w:rPr>
                <w:rFonts w:ascii="Calibri" w:hAnsi="Calibri"/>
                <w:color w:val="1E293B"/>
                <w:sz w:val="18"/>
              </w:rPr>
              <w:t>Reproducible ingestion &amp; cleaning producing analysis-ready Star Schema.</w:t>
            </w:r>
          </w:p>
        </w:tc>
        <w:tc>
          <w:tcPr>
            <w:tcW w:type="dxa" w:w="1296"/>
            <w:shd w:fill="FFFFFF"/>
            <w:tcMar>
              <w:top w:w="90" w:type="dxa"/>
              <w:bottom w:w="90" w:type="dxa"/>
              <w:left w:w="130" w:type="dxa"/>
              <w:right w:w="130" w:type="dxa"/>
            </w:tcMar>
          </w:tcPr>
          <w:p>
            <w:pPr>
              <w:spacing w:before="30" w:after="30"/>
              <w:jc w:val="center"/>
            </w:pPr>
            <w:r>
              <w:rPr>
                <w:rFonts w:ascii="Calibri" w:hAnsi="Calibri"/>
                <w:color w:val="1E293B"/>
                <w:sz w:val="18"/>
              </w:rPr>
              <w:t>Completed</w:t>
            </w:r>
          </w:p>
        </w:tc>
      </w:tr>
      <w:tr>
        <w:tc>
          <w:tcPr>
            <w:tcW w:type="dxa" w:w="864"/>
            <w:shd w:fill="F8FAFC"/>
            <w:tcMar>
              <w:top w:w="90" w:type="dxa"/>
              <w:bottom w:w="90" w:type="dxa"/>
              <w:left w:w="130" w:type="dxa"/>
              <w:right w:w="130" w:type="dxa"/>
            </w:tcMar>
          </w:tcPr>
          <w:p>
            <w:pPr>
              <w:spacing w:before="30" w:after="30"/>
              <w:jc w:val="center"/>
            </w:pPr>
            <w:r>
              <w:rPr>
                <w:rFonts w:ascii="Calibri" w:hAnsi="Calibri"/>
                <w:color w:val="1E293B"/>
                <w:sz w:val="18"/>
              </w:rPr>
              <w:t>D2</w:t>
            </w:r>
          </w:p>
        </w:tc>
        <w:tc>
          <w:tcPr>
            <w:tcW w:type="dxa" w:w="2592"/>
            <w:shd w:fill="F8FAFC"/>
            <w:tcMar>
              <w:top w:w="90" w:type="dxa"/>
              <w:bottom w:w="90" w:type="dxa"/>
              <w:left w:w="130" w:type="dxa"/>
              <w:right w:w="130" w:type="dxa"/>
            </w:tcMar>
          </w:tcPr>
          <w:p>
            <w:pPr>
              <w:spacing w:before="30" w:after="30"/>
              <w:jc w:val="left"/>
            </w:pPr>
            <w:r>
              <w:rPr>
                <w:rFonts w:ascii="Calibri" w:hAnsi="Calibri"/>
                <w:color w:val="1E293B"/>
                <w:sz w:val="18"/>
              </w:rPr>
              <w:t>EDA Insight Memo</w:t>
            </w:r>
          </w:p>
        </w:tc>
        <w:tc>
          <w:tcPr>
            <w:tcW w:type="dxa" w:w="5040"/>
            <w:shd w:fill="F8FAFC"/>
            <w:tcMar>
              <w:top w:w="90" w:type="dxa"/>
              <w:bottom w:w="90" w:type="dxa"/>
              <w:left w:w="130" w:type="dxa"/>
              <w:right w:w="130" w:type="dxa"/>
            </w:tcMar>
          </w:tcPr>
          <w:p>
            <w:pPr>
              <w:spacing w:before="30" w:after="30"/>
              <w:jc w:val="left"/>
            </w:pPr>
            <w:r>
              <w:rPr>
                <w:rFonts w:ascii="Calibri" w:hAnsi="Calibri"/>
                <w:color w:val="1E293B"/>
                <w:sz w:val="18"/>
              </w:rPr>
              <w:t>Comprehensive reporting on trends, Pareto rules, seasonality, and dead stock.</w:t>
            </w:r>
          </w:p>
        </w:tc>
        <w:tc>
          <w:tcPr>
            <w:tcW w:type="dxa" w:w="1296"/>
            <w:shd w:fill="F8FAFC"/>
            <w:tcMar>
              <w:top w:w="90" w:type="dxa"/>
              <w:bottom w:w="90" w:type="dxa"/>
              <w:left w:w="130" w:type="dxa"/>
              <w:right w:w="130" w:type="dxa"/>
            </w:tcMar>
          </w:tcPr>
          <w:p>
            <w:pPr>
              <w:spacing w:before="30" w:after="30"/>
              <w:jc w:val="center"/>
            </w:pPr>
            <w:r>
              <w:rPr>
                <w:rFonts w:ascii="Calibri" w:hAnsi="Calibri"/>
                <w:color w:val="1E293B"/>
                <w:sz w:val="18"/>
              </w:rPr>
              <w:t>Completed</w:t>
            </w:r>
          </w:p>
        </w:tc>
      </w:tr>
      <w:tr>
        <w:tc>
          <w:tcPr>
            <w:tcW w:type="dxa" w:w="864"/>
            <w:shd w:fill="FFFFFF"/>
            <w:tcMar>
              <w:top w:w="90" w:type="dxa"/>
              <w:bottom w:w="90" w:type="dxa"/>
              <w:left w:w="130" w:type="dxa"/>
              <w:right w:w="130" w:type="dxa"/>
            </w:tcMar>
          </w:tcPr>
          <w:p>
            <w:pPr>
              <w:spacing w:before="30" w:after="30"/>
              <w:jc w:val="center"/>
            </w:pPr>
            <w:r>
              <w:rPr>
                <w:rFonts w:ascii="Calibri" w:hAnsi="Calibri"/>
                <w:color w:val="1E293B"/>
                <w:sz w:val="18"/>
              </w:rPr>
              <w:t>D3</w:t>
            </w:r>
          </w:p>
        </w:tc>
        <w:tc>
          <w:tcPr>
            <w:tcW w:type="dxa" w:w="2592"/>
            <w:shd w:fill="FFFFFF"/>
            <w:tcMar>
              <w:top w:w="90" w:type="dxa"/>
              <w:bottom w:w="90" w:type="dxa"/>
              <w:left w:w="130" w:type="dxa"/>
              <w:right w:w="130" w:type="dxa"/>
            </w:tcMar>
          </w:tcPr>
          <w:p>
            <w:pPr>
              <w:spacing w:before="30" w:after="30"/>
              <w:jc w:val="left"/>
            </w:pPr>
            <w:r>
              <w:rPr>
                <w:rFonts w:ascii="Calibri" w:hAnsi="Calibri"/>
                <w:color w:val="1E293B"/>
                <w:sz w:val="18"/>
              </w:rPr>
              <w:t>Demand Forecast Model</w:t>
            </w:r>
          </w:p>
        </w:tc>
        <w:tc>
          <w:tcPr>
            <w:tcW w:type="dxa" w:w="5040"/>
            <w:shd w:fill="FFFFFF"/>
            <w:tcMar>
              <w:top w:w="90" w:type="dxa"/>
              <w:bottom w:w="90" w:type="dxa"/>
              <w:left w:w="130" w:type="dxa"/>
              <w:right w:w="130" w:type="dxa"/>
            </w:tcMar>
          </w:tcPr>
          <w:p>
            <w:pPr>
              <w:spacing w:before="30" w:after="30"/>
              <w:jc w:val="left"/>
            </w:pPr>
            <w:r>
              <w:rPr>
                <w:rFonts w:ascii="Calibri" w:hAnsi="Calibri"/>
                <w:color w:val="1E293B"/>
                <w:sz w:val="18"/>
              </w:rPr>
              <w:t>Weekly SKU forecast evaluated via rolling CV beating seasonal-naive baseline.</w:t>
            </w:r>
          </w:p>
        </w:tc>
        <w:tc>
          <w:tcPr>
            <w:tcW w:type="dxa" w:w="1296"/>
            <w:shd w:fill="FFFFFF"/>
            <w:tcMar>
              <w:top w:w="90" w:type="dxa"/>
              <w:bottom w:w="90" w:type="dxa"/>
              <w:left w:w="130" w:type="dxa"/>
              <w:right w:w="130" w:type="dxa"/>
            </w:tcMar>
          </w:tcPr>
          <w:p>
            <w:pPr>
              <w:spacing w:before="30" w:after="30"/>
              <w:jc w:val="center"/>
            </w:pPr>
            <w:r>
              <w:rPr>
                <w:rFonts w:ascii="Calibri" w:hAnsi="Calibri"/>
                <w:color w:val="1E293B"/>
                <w:sz w:val="18"/>
              </w:rPr>
              <w:t>Completed</w:t>
            </w:r>
          </w:p>
        </w:tc>
      </w:tr>
      <w:tr>
        <w:tc>
          <w:tcPr>
            <w:tcW w:type="dxa" w:w="864"/>
            <w:shd w:fill="F8FAFC"/>
            <w:tcMar>
              <w:top w:w="90" w:type="dxa"/>
              <w:bottom w:w="90" w:type="dxa"/>
              <w:left w:w="130" w:type="dxa"/>
              <w:right w:w="130" w:type="dxa"/>
            </w:tcMar>
          </w:tcPr>
          <w:p>
            <w:pPr>
              <w:spacing w:before="30" w:after="30"/>
              <w:jc w:val="center"/>
            </w:pPr>
            <w:r>
              <w:rPr>
                <w:rFonts w:ascii="Calibri" w:hAnsi="Calibri"/>
                <w:color w:val="1E293B"/>
                <w:sz w:val="18"/>
              </w:rPr>
              <w:t>D4</w:t>
            </w:r>
          </w:p>
        </w:tc>
        <w:tc>
          <w:tcPr>
            <w:tcW w:type="dxa" w:w="2592"/>
            <w:shd w:fill="F8FAFC"/>
            <w:tcMar>
              <w:top w:w="90" w:type="dxa"/>
              <w:bottom w:w="90" w:type="dxa"/>
              <w:left w:w="130" w:type="dxa"/>
              <w:right w:w="130" w:type="dxa"/>
            </w:tcMar>
          </w:tcPr>
          <w:p>
            <w:pPr>
              <w:spacing w:before="30" w:after="30"/>
              <w:jc w:val="left"/>
            </w:pPr>
            <w:r>
              <w:rPr>
                <w:rFonts w:ascii="Calibri" w:hAnsi="Calibri"/>
                <w:color w:val="1E293B"/>
                <w:sz w:val="18"/>
              </w:rPr>
              <w:t>Risk Scoring Engine</w:t>
            </w:r>
          </w:p>
        </w:tc>
        <w:tc>
          <w:tcPr>
            <w:tcW w:type="dxa" w:w="5040"/>
            <w:shd w:fill="F8FAFC"/>
            <w:tcMar>
              <w:top w:w="90" w:type="dxa"/>
              <w:bottom w:w="90" w:type="dxa"/>
              <w:left w:w="130" w:type="dxa"/>
              <w:right w:w="130" w:type="dxa"/>
            </w:tcMar>
          </w:tcPr>
          <w:p>
            <w:pPr>
              <w:spacing w:before="30" w:after="30"/>
              <w:jc w:val="left"/>
            </w:pPr>
            <w:r>
              <w:rPr>
                <w:rFonts w:ascii="Calibri" w:hAnsi="Calibri"/>
                <w:color w:val="1E293B"/>
                <w:sz w:val="18"/>
              </w:rPr>
              <w:t>Deterministic 2x2 decision grid with rupee-quantified sales &amp; capital impact.</w:t>
            </w:r>
          </w:p>
        </w:tc>
        <w:tc>
          <w:tcPr>
            <w:tcW w:type="dxa" w:w="1296"/>
            <w:shd w:fill="F8FAFC"/>
            <w:tcMar>
              <w:top w:w="90" w:type="dxa"/>
              <w:bottom w:w="90" w:type="dxa"/>
              <w:left w:w="130" w:type="dxa"/>
              <w:right w:w="130" w:type="dxa"/>
            </w:tcMar>
          </w:tcPr>
          <w:p>
            <w:pPr>
              <w:spacing w:before="30" w:after="30"/>
              <w:jc w:val="center"/>
            </w:pPr>
            <w:r>
              <w:rPr>
                <w:rFonts w:ascii="Calibri" w:hAnsi="Calibri"/>
                <w:color w:val="1E293B"/>
                <w:sz w:val="18"/>
              </w:rPr>
              <w:t>Completed</w:t>
            </w:r>
          </w:p>
        </w:tc>
      </w:tr>
      <w:tr>
        <w:tc>
          <w:tcPr>
            <w:tcW w:type="dxa" w:w="864"/>
            <w:shd w:fill="FFFFFF"/>
            <w:tcMar>
              <w:top w:w="90" w:type="dxa"/>
              <w:bottom w:w="90" w:type="dxa"/>
              <w:left w:w="130" w:type="dxa"/>
              <w:right w:w="130" w:type="dxa"/>
            </w:tcMar>
          </w:tcPr>
          <w:p>
            <w:pPr>
              <w:spacing w:before="30" w:after="30"/>
              <w:jc w:val="center"/>
            </w:pPr>
            <w:r>
              <w:rPr>
                <w:rFonts w:ascii="Calibri" w:hAnsi="Calibri"/>
                <w:color w:val="1E293B"/>
                <w:sz w:val="18"/>
              </w:rPr>
              <w:t>D5</w:t>
            </w:r>
          </w:p>
        </w:tc>
        <w:tc>
          <w:tcPr>
            <w:tcW w:type="dxa" w:w="2592"/>
            <w:shd w:fill="FFFFFF"/>
            <w:tcMar>
              <w:top w:w="90" w:type="dxa"/>
              <w:bottom w:w="90" w:type="dxa"/>
              <w:left w:w="130" w:type="dxa"/>
              <w:right w:w="130" w:type="dxa"/>
            </w:tcMar>
          </w:tcPr>
          <w:p>
            <w:pPr>
              <w:spacing w:before="30" w:after="30"/>
              <w:jc w:val="left"/>
            </w:pPr>
            <w:r>
              <w:rPr>
                <w:rFonts w:ascii="Calibri" w:hAnsi="Calibri"/>
                <w:color w:val="1E293B"/>
                <w:sz w:val="18"/>
              </w:rPr>
              <w:t>Planning Dashboard</w:t>
            </w:r>
          </w:p>
        </w:tc>
        <w:tc>
          <w:tcPr>
            <w:tcW w:type="dxa" w:w="5040"/>
            <w:shd w:fill="FFFFFF"/>
            <w:tcMar>
              <w:top w:w="90" w:type="dxa"/>
              <w:bottom w:w="90" w:type="dxa"/>
              <w:left w:w="130" w:type="dxa"/>
              <w:right w:w="130" w:type="dxa"/>
            </w:tcMar>
          </w:tcPr>
          <w:p>
            <w:pPr>
              <w:spacing w:before="30" w:after="30"/>
              <w:jc w:val="left"/>
            </w:pPr>
            <w:r>
              <w:rPr>
                <w:rFonts w:ascii="Calibri" w:hAnsi="Calibri"/>
                <w:color w:val="1E293B"/>
                <w:sz w:val="18"/>
              </w:rPr>
              <w:t>7-page interactive Streamlit dashboard with drill-downs and confidence bands.</w:t>
            </w:r>
          </w:p>
        </w:tc>
        <w:tc>
          <w:tcPr>
            <w:tcW w:type="dxa" w:w="1296"/>
            <w:shd w:fill="FFFFFF"/>
            <w:tcMar>
              <w:top w:w="90" w:type="dxa"/>
              <w:bottom w:w="90" w:type="dxa"/>
              <w:left w:w="130" w:type="dxa"/>
              <w:right w:w="130" w:type="dxa"/>
            </w:tcMar>
          </w:tcPr>
          <w:p>
            <w:pPr>
              <w:spacing w:before="30" w:after="30"/>
              <w:jc w:val="center"/>
            </w:pPr>
            <w:r>
              <w:rPr>
                <w:rFonts w:ascii="Calibri" w:hAnsi="Calibri"/>
                <w:color w:val="1E293B"/>
                <w:sz w:val="18"/>
              </w:rPr>
              <w:t>Completed</w:t>
            </w:r>
          </w:p>
        </w:tc>
      </w:tr>
      <w:tr>
        <w:tc>
          <w:tcPr>
            <w:tcW w:type="dxa" w:w="864"/>
            <w:shd w:fill="F8FAFC"/>
            <w:tcMar>
              <w:top w:w="90" w:type="dxa"/>
              <w:bottom w:w="90" w:type="dxa"/>
              <w:left w:w="130" w:type="dxa"/>
              <w:right w:w="130" w:type="dxa"/>
            </w:tcMar>
          </w:tcPr>
          <w:p>
            <w:pPr>
              <w:spacing w:before="30" w:after="30"/>
              <w:jc w:val="center"/>
            </w:pPr>
            <w:r>
              <w:rPr>
                <w:rFonts w:ascii="Calibri" w:hAnsi="Calibri"/>
                <w:color w:val="1E293B"/>
                <w:sz w:val="18"/>
              </w:rPr>
              <w:t>D6</w:t>
            </w:r>
          </w:p>
        </w:tc>
        <w:tc>
          <w:tcPr>
            <w:tcW w:type="dxa" w:w="2592"/>
            <w:shd w:fill="F8FAFC"/>
            <w:tcMar>
              <w:top w:w="90" w:type="dxa"/>
              <w:bottom w:w="90" w:type="dxa"/>
              <w:left w:w="130" w:type="dxa"/>
              <w:right w:w="130" w:type="dxa"/>
            </w:tcMar>
          </w:tcPr>
          <w:p>
            <w:pPr>
              <w:spacing w:before="30" w:after="30"/>
              <w:jc w:val="left"/>
            </w:pPr>
            <w:r>
              <w:rPr>
                <w:rFonts w:ascii="Calibri" w:hAnsi="Calibri"/>
                <w:color w:val="1E293B"/>
                <w:sz w:val="18"/>
              </w:rPr>
              <w:t>Deployed Scoring Service</w:t>
            </w:r>
          </w:p>
        </w:tc>
        <w:tc>
          <w:tcPr>
            <w:tcW w:type="dxa" w:w="5040"/>
            <w:shd w:fill="F8FAFC"/>
            <w:tcMar>
              <w:top w:w="90" w:type="dxa"/>
              <w:bottom w:w="90" w:type="dxa"/>
              <w:left w:w="130" w:type="dxa"/>
              <w:right w:w="130" w:type="dxa"/>
            </w:tcMar>
          </w:tcPr>
          <w:p>
            <w:pPr>
              <w:spacing w:before="30" w:after="30"/>
              <w:jc w:val="left"/>
            </w:pPr>
            <w:r>
              <w:rPr>
                <w:rFonts w:ascii="Calibri" w:hAnsi="Calibri"/>
                <w:color w:val="1E293B"/>
                <w:sz w:val="18"/>
              </w:rPr>
              <w:t>FastAPI REST API serving single-SKU and batch predictions.</w:t>
            </w:r>
          </w:p>
        </w:tc>
        <w:tc>
          <w:tcPr>
            <w:tcW w:type="dxa" w:w="1296"/>
            <w:shd w:fill="F8FAFC"/>
            <w:tcMar>
              <w:top w:w="90" w:type="dxa"/>
              <w:bottom w:w="90" w:type="dxa"/>
              <w:left w:w="130" w:type="dxa"/>
              <w:right w:w="130" w:type="dxa"/>
            </w:tcMar>
          </w:tcPr>
          <w:p>
            <w:pPr>
              <w:spacing w:before="30" w:after="30"/>
              <w:jc w:val="center"/>
            </w:pPr>
            <w:r>
              <w:rPr>
                <w:rFonts w:ascii="Calibri" w:hAnsi="Calibri"/>
                <w:color w:val="1E293B"/>
                <w:sz w:val="18"/>
              </w:rPr>
              <w:t>Completed</w:t>
            </w:r>
          </w:p>
        </w:tc>
      </w:tr>
      <w:tr>
        <w:tc>
          <w:tcPr>
            <w:tcW w:type="dxa" w:w="864"/>
            <w:shd w:fill="FFFFFF"/>
            <w:tcMar>
              <w:top w:w="90" w:type="dxa"/>
              <w:bottom w:w="90" w:type="dxa"/>
              <w:left w:w="130" w:type="dxa"/>
              <w:right w:w="130" w:type="dxa"/>
            </w:tcMar>
          </w:tcPr>
          <w:p>
            <w:pPr>
              <w:spacing w:before="30" w:after="30"/>
              <w:jc w:val="center"/>
            </w:pPr>
            <w:r>
              <w:rPr>
                <w:rFonts w:ascii="Calibri" w:hAnsi="Calibri"/>
                <w:color w:val="1E293B"/>
                <w:sz w:val="18"/>
              </w:rPr>
              <w:t>D7</w:t>
            </w:r>
          </w:p>
        </w:tc>
        <w:tc>
          <w:tcPr>
            <w:tcW w:type="dxa" w:w="2592"/>
            <w:shd w:fill="FFFFFF"/>
            <w:tcMar>
              <w:top w:w="90" w:type="dxa"/>
              <w:bottom w:w="90" w:type="dxa"/>
              <w:left w:w="130" w:type="dxa"/>
              <w:right w:w="130" w:type="dxa"/>
            </w:tcMar>
          </w:tcPr>
          <w:p>
            <w:pPr>
              <w:spacing w:before="30" w:after="30"/>
              <w:jc w:val="left"/>
            </w:pPr>
            <w:r>
              <w:rPr>
                <w:rFonts w:ascii="Calibri" w:hAnsi="Calibri"/>
                <w:color w:val="1E293B"/>
                <w:sz w:val="18"/>
              </w:rPr>
              <w:t>Executive Readout</w:t>
            </w:r>
          </w:p>
        </w:tc>
        <w:tc>
          <w:tcPr>
            <w:tcW w:type="dxa" w:w="5040"/>
            <w:shd w:fill="FFFFFF"/>
            <w:tcMar>
              <w:top w:w="90" w:type="dxa"/>
              <w:bottom w:w="90" w:type="dxa"/>
              <w:left w:w="130" w:type="dxa"/>
              <w:right w:w="130" w:type="dxa"/>
            </w:tcMar>
          </w:tcPr>
          <w:p>
            <w:pPr>
              <w:spacing w:before="30" w:after="30"/>
              <w:jc w:val="left"/>
            </w:pPr>
            <w:r>
              <w:rPr>
                <w:rFonts w:ascii="Calibri" w:hAnsi="Calibri"/>
                <w:color w:val="1E293B"/>
                <w:sz w:val="18"/>
              </w:rPr>
              <w:t>10-slide executive presentation deck &amp; full formal project report.</w:t>
            </w:r>
          </w:p>
        </w:tc>
        <w:tc>
          <w:tcPr>
            <w:tcW w:type="dxa" w:w="1296"/>
            <w:shd w:fill="FFFFFF"/>
            <w:tcMar>
              <w:top w:w="90" w:type="dxa"/>
              <w:bottom w:w="90" w:type="dxa"/>
              <w:left w:w="130" w:type="dxa"/>
              <w:right w:w="130" w:type="dxa"/>
            </w:tcMar>
          </w:tcPr>
          <w:p>
            <w:pPr>
              <w:spacing w:before="30" w:after="30"/>
              <w:jc w:val="center"/>
            </w:pPr>
            <w:r>
              <w:rPr>
                <w:rFonts w:ascii="Calibri" w:hAnsi="Calibri"/>
                <w:color w:val="1E293B"/>
                <w:sz w:val="18"/>
              </w:rPr>
              <w:t>Completed</w:t>
            </w:r>
          </w:p>
        </w:tc>
      </w:tr>
    </w:tbl>
    <w:p>
      <w:pPr>
        <w:pStyle w:val="Heading1"/>
        <w:keepNext/>
        <w:spacing w:before="280" w:after="120"/>
      </w:pPr>
      <w:r>
        <w:rPr>
          <w:rFonts w:ascii="Calibri" w:hAnsi="Calibri"/>
          <w:b/>
          <w:color w:val="0F172A"/>
          <w:sz w:val="30"/>
        </w:rPr>
        <w:t>3. Technology Stack &amp; Core Competencies</w:t>
      </w:r>
    </w:p>
    <w:p>
      <w:pPr>
        <w:spacing w:line="276" w:lineRule="auto" w:after="160"/>
      </w:pPr>
      <w:r>
        <w:t>The project combines modern Python data science frameworks, gradient-boosted tree algorithms, deterministic supply chain physics, and web application serving:</w:t>
      </w:r>
    </w:p>
    <w:tbl>
      <w:tblPr>
        <w:tblW w:type="auto" w:w="0"/>
        <w:jc w:val="center"/>
        <w:tblLayout w:type="fixed"/>
        <w:tblLook w:firstColumn="1" w:firstRow="1" w:lastColumn="0" w:lastRow="0" w:noHBand="0" w:noVBand="1" w:val="04A0"/>
      </w:tblPr>
      <w:tblGrid>
        <w:gridCol w:w="3264"/>
        <w:gridCol w:w="3264"/>
        <w:gridCol w:w="3264"/>
      </w:tblGrid>
      <w:tr>
        <w:tc>
          <w:tcPr>
            <w:tcW w:type="dxa" w:w="2304"/>
            <w:shd w:fill="1E293B"/>
            <w:tcMar>
              <w:top w:w="120" w:type="dxa"/>
              <w:bottom w:w="120" w:type="dxa"/>
              <w:left w:w="140" w:type="dxa"/>
              <w:right w:w="140" w:type="dxa"/>
            </w:tcMar>
          </w:tcPr>
          <w:p>
            <w:pPr>
              <w:spacing w:before="40" w:after="40"/>
              <w:jc w:val="left"/>
            </w:pPr>
            <w:r>
              <w:rPr>
                <w:rFonts w:ascii="Calibri" w:hAnsi="Calibri"/>
                <w:b/>
                <w:color w:val="FFFFFF"/>
                <w:sz w:val="19"/>
              </w:rPr>
              <w:t>Layer / Domain</w:t>
            </w:r>
          </w:p>
        </w:tc>
        <w:tc>
          <w:tcPr>
            <w:tcW w:type="dxa" w:w="3168"/>
            <w:shd w:fill="1E293B"/>
            <w:tcMar>
              <w:top w:w="120" w:type="dxa"/>
              <w:bottom w:w="120" w:type="dxa"/>
              <w:left w:w="140" w:type="dxa"/>
              <w:right w:w="140" w:type="dxa"/>
            </w:tcMar>
          </w:tcPr>
          <w:p>
            <w:pPr>
              <w:spacing w:before="40" w:after="40"/>
              <w:jc w:val="left"/>
            </w:pPr>
            <w:r>
              <w:rPr>
                <w:rFonts w:ascii="Calibri" w:hAnsi="Calibri"/>
                <w:b/>
                <w:color w:val="FFFFFF"/>
                <w:sz w:val="19"/>
              </w:rPr>
              <w:t>Libraries &amp; Technologies</w:t>
            </w:r>
          </w:p>
        </w:tc>
        <w:tc>
          <w:tcPr>
            <w:tcW w:type="dxa" w:w="4320"/>
            <w:shd w:fill="1E293B"/>
            <w:tcMar>
              <w:top w:w="120" w:type="dxa"/>
              <w:bottom w:w="120" w:type="dxa"/>
              <w:left w:w="140" w:type="dxa"/>
              <w:right w:w="140" w:type="dxa"/>
            </w:tcMar>
          </w:tcPr>
          <w:p>
            <w:pPr>
              <w:spacing w:before="40" w:after="40"/>
              <w:jc w:val="left"/>
            </w:pPr>
            <w:r>
              <w:rPr>
                <w:rFonts w:ascii="Calibri" w:hAnsi="Calibri"/>
                <w:b/>
                <w:color w:val="FFFFFF"/>
                <w:sz w:val="19"/>
              </w:rPr>
              <w:t>Functional Purpose in Project FORESIGHT</w:t>
            </w:r>
          </w:p>
        </w:tc>
      </w:tr>
      <w:tr>
        <w:tc>
          <w:tcPr>
            <w:tcW w:type="dxa" w:w="2304"/>
            <w:shd w:fill="FFFFFF"/>
            <w:tcMar>
              <w:top w:w="90" w:type="dxa"/>
              <w:bottom w:w="90" w:type="dxa"/>
              <w:left w:w="130" w:type="dxa"/>
              <w:right w:w="130" w:type="dxa"/>
            </w:tcMar>
          </w:tcPr>
          <w:p>
            <w:pPr>
              <w:spacing w:before="30" w:after="30"/>
              <w:jc w:val="left"/>
            </w:pPr>
            <w:r>
              <w:rPr>
                <w:rFonts w:ascii="Calibri" w:hAnsi="Calibri"/>
                <w:color w:val="1E293B"/>
                <w:sz w:val="18"/>
              </w:rPr>
              <w:t>Core Language</w:t>
            </w:r>
          </w:p>
        </w:tc>
        <w:tc>
          <w:tcPr>
            <w:tcW w:type="dxa" w:w="3168"/>
            <w:shd w:fill="FFFFFF"/>
            <w:tcMar>
              <w:top w:w="90" w:type="dxa"/>
              <w:bottom w:w="90" w:type="dxa"/>
              <w:left w:w="130" w:type="dxa"/>
              <w:right w:w="130" w:type="dxa"/>
            </w:tcMar>
          </w:tcPr>
          <w:p>
            <w:pPr>
              <w:spacing w:before="30" w:after="30"/>
              <w:jc w:val="left"/>
            </w:pPr>
            <w:r>
              <w:rPr>
                <w:rFonts w:ascii="Calibri" w:hAnsi="Calibri"/>
                <w:color w:val="1E293B"/>
                <w:sz w:val="18"/>
              </w:rPr>
              <w:t>Python 3.11+ / 3.14</w:t>
            </w:r>
          </w:p>
        </w:tc>
        <w:tc>
          <w:tcPr>
            <w:tcW w:type="dxa" w:w="4320"/>
            <w:shd w:fill="FFFFFF"/>
            <w:tcMar>
              <w:top w:w="90" w:type="dxa"/>
              <w:bottom w:w="90" w:type="dxa"/>
              <w:left w:w="130" w:type="dxa"/>
              <w:right w:w="130" w:type="dxa"/>
            </w:tcMar>
          </w:tcPr>
          <w:p>
            <w:pPr>
              <w:spacing w:before="30" w:after="30"/>
              <w:jc w:val="left"/>
            </w:pPr>
            <w:r>
              <w:rPr>
                <w:rFonts w:ascii="Calibri" w:hAnsi="Calibri"/>
                <w:color w:val="1E293B"/>
                <w:sz w:val="18"/>
              </w:rPr>
              <w:t>Underlying runtime for data manipulation, modeling, and application serving.</w:t>
            </w:r>
          </w:p>
        </w:tc>
      </w:tr>
      <w:tr>
        <w:tc>
          <w:tcPr>
            <w:tcW w:type="dxa" w:w="2304"/>
            <w:shd w:fill="F8FAFC"/>
            <w:tcMar>
              <w:top w:w="90" w:type="dxa"/>
              <w:bottom w:w="90" w:type="dxa"/>
              <w:left w:w="130" w:type="dxa"/>
              <w:right w:w="130" w:type="dxa"/>
            </w:tcMar>
          </w:tcPr>
          <w:p>
            <w:pPr>
              <w:spacing w:before="30" w:after="30"/>
              <w:jc w:val="left"/>
            </w:pPr>
            <w:r>
              <w:rPr>
                <w:rFonts w:ascii="Calibri" w:hAnsi="Calibri"/>
                <w:color w:val="1E293B"/>
                <w:sz w:val="18"/>
              </w:rPr>
              <w:t>Data Engineering</w:t>
            </w:r>
          </w:p>
        </w:tc>
        <w:tc>
          <w:tcPr>
            <w:tcW w:type="dxa" w:w="3168"/>
            <w:shd w:fill="F8FAFC"/>
            <w:tcMar>
              <w:top w:w="90" w:type="dxa"/>
              <w:bottom w:w="90" w:type="dxa"/>
              <w:left w:w="130" w:type="dxa"/>
              <w:right w:w="130" w:type="dxa"/>
            </w:tcMar>
          </w:tcPr>
          <w:p>
            <w:pPr>
              <w:spacing w:before="30" w:after="30"/>
              <w:jc w:val="left"/>
            </w:pPr>
            <w:r>
              <w:rPr>
                <w:rFonts w:ascii="Calibri" w:hAnsi="Calibri"/>
                <w:color w:val="1E293B"/>
                <w:sz w:val="18"/>
              </w:rPr>
              <w:t>pandas, numpy, openpyxl</w:t>
            </w:r>
          </w:p>
        </w:tc>
        <w:tc>
          <w:tcPr>
            <w:tcW w:type="dxa" w:w="4320"/>
            <w:shd w:fill="F8FAFC"/>
            <w:tcMar>
              <w:top w:w="90" w:type="dxa"/>
              <w:bottom w:w="90" w:type="dxa"/>
              <w:left w:w="130" w:type="dxa"/>
              <w:right w:w="130" w:type="dxa"/>
            </w:tcMar>
          </w:tcPr>
          <w:p>
            <w:pPr>
              <w:spacing w:before="30" w:after="30"/>
              <w:jc w:val="left"/>
            </w:pPr>
            <w:r>
              <w:rPr>
                <w:rFonts w:ascii="Calibri" w:hAnsi="Calibri"/>
                <w:color w:val="1E293B"/>
                <w:sz w:val="18"/>
              </w:rPr>
              <w:t>High-volume data wrangling, star schema building, aggregation, vector operations.</w:t>
            </w:r>
          </w:p>
        </w:tc>
      </w:tr>
      <w:tr>
        <w:tc>
          <w:tcPr>
            <w:tcW w:type="dxa" w:w="2304"/>
            <w:shd w:fill="FFFFFF"/>
            <w:tcMar>
              <w:top w:w="90" w:type="dxa"/>
              <w:bottom w:w="90" w:type="dxa"/>
              <w:left w:w="130" w:type="dxa"/>
              <w:right w:w="130" w:type="dxa"/>
            </w:tcMar>
          </w:tcPr>
          <w:p>
            <w:pPr>
              <w:spacing w:before="30" w:after="30"/>
              <w:jc w:val="left"/>
            </w:pPr>
            <w:r>
              <w:rPr>
                <w:rFonts w:ascii="Calibri" w:hAnsi="Calibri"/>
                <w:color w:val="1E293B"/>
                <w:sz w:val="18"/>
              </w:rPr>
              <w:t>Machine Learning</w:t>
            </w:r>
          </w:p>
        </w:tc>
        <w:tc>
          <w:tcPr>
            <w:tcW w:type="dxa" w:w="3168"/>
            <w:shd w:fill="FFFFFF"/>
            <w:tcMar>
              <w:top w:w="90" w:type="dxa"/>
              <w:bottom w:w="90" w:type="dxa"/>
              <w:left w:w="130" w:type="dxa"/>
              <w:right w:w="130" w:type="dxa"/>
            </w:tcMar>
          </w:tcPr>
          <w:p>
            <w:pPr>
              <w:spacing w:before="30" w:after="30"/>
              <w:jc w:val="left"/>
            </w:pPr>
            <w:r>
              <w:rPr>
                <w:rFonts w:ascii="Calibri" w:hAnsi="Calibri"/>
                <w:color w:val="1E293B"/>
                <w:sz w:val="18"/>
              </w:rPr>
              <w:t>scikit-learn, LightGBM, XGBoost</w:t>
            </w:r>
          </w:p>
        </w:tc>
        <w:tc>
          <w:tcPr>
            <w:tcW w:type="dxa" w:w="4320"/>
            <w:shd w:fill="FFFFFF"/>
            <w:tcMar>
              <w:top w:w="90" w:type="dxa"/>
              <w:bottom w:w="90" w:type="dxa"/>
              <w:left w:w="130" w:type="dxa"/>
              <w:right w:w="130" w:type="dxa"/>
            </w:tcMar>
          </w:tcPr>
          <w:p>
            <w:pPr>
              <w:spacing w:before="30" w:after="30"/>
              <w:jc w:val="left"/>
            </w:pPr>
            <w:r>
              <w:rPr>
                <w:rFonts w:ascii="Calibri" w:hAnsi="Calibri"/>
                <w:color w:val="1E293B"/>
                <w:sz w:val="18"/>
              </w:rPr>
              <w:t>Supervised tree regression, gradient boosting, temporal feature extraction.</w:t>
            </w:r>
          </w:p>
        </w:tc>
      </w:tr>
      <w:tr>
        <w:tc>
          <w:tcPr>
            <w:tcW w:type="dxa" w:w="2304"/>
            <w:shd w:fill="F8FAFC"/>
            <w:tcMar>
              <w:top w:w="90" w:type="dxa"/>
              <w:bottom w:w="90" w:type="dxa"/>
              <w:left w:w="130" w:type="dxa"/>
              <w:right w:w="130" w:type="dxa"/>
            </w:tcMar>
          </w:tcPr>
          <w:p>
            <w:pPr>
              <w:spacing w:before="30" w:after="30"/>
              <w:jc w:val="left"/>
            </w:pPr>
            <w:r>
              <w:rPr>
                <w:rFonts w:ascii="Calibri" w:hAnsi="Calibri"/>
                <w:color w:val="1E293B"/>
                <w:sz w:val="18"/>
              </w:rPr>
              <w:t>Time-Series Validation</w:t>
            </w:r>
          </w:p>
        </w:tc>
        <w:tc>
          <w:tcPr>
            <w:tcW w:type="dxa" w:w="3168"/>
            <w:shd w:fill="F8FAFC"/>
            <w:tcMar>
              <w:top w:w="90" w:type="dxa"/>
              <w:bottom w:w="90" w:type="dxa"/>
              <w:left w:w="130" w:type="dxa"/>
              <w:right w:w="130" w:type="dxa"/>
            </w:tcMar>
          </w:tcPr>
          <w:p>
            <w:pPr>
              <w:spacing w:before="30" w:after="30"/>
              <w:jc w:val="left"/>
            </w:pPr>
            <w:r>
              <w:rPr>
                <w:rFonts w:ascii="Calibri" w:hAnsi="Calibri"/>
                <w:color w:val="1E293B"/>
                <w:sz w:val="18"/>
              </w:rPr>
              <w:t>Rolling-Origin Cross-Validation</w:t>
            </w:r>
          </w:p>
        </w:tc>
        <w:tc>
          <w:tcPr>
            <w:tcW w:type="dxa" w:w="4320"/>
            <w:shd w:fill="F8FAFC"/>
            <w:tcMar>
              <w:top w:w="90" w:type="dxa"/>
              <w:bottom w:w="90" w:type="dxa"/>
              <w:left w:w="130" w:type="dxa"/>
              <w:right w:w="130" w:type="dxa"/>
            </w:tcMar>
          </w:tcPr>
          <w:p>
            <w:pPr>
              <w:spacing w:before="30" w:after="30"/>
              <w:jc w:val="left"/>
            </w:pPr>
            <w:r>
              <w:rPr>
                <w:rFonts w:ascii="Calibri" w:hAnsi="Calibri"/>
                <w:color w:val="1E293B"/>
                <w:sz w:val="18"/>
              </w:rPr>
              <w:t>4-fold temporal backtesting preventing future lookahead data leakage.</w:t>
            </w:r>
          </w:p>
        </w:tc>
      </w:tr>
      <w:tr>
        <w:tc>
          <w:tcPr>
            <w:tcW w:type="dxa" w:w="2304"/>
            <w:shd w:fill="FFFFFF"/>
            <w:tcMar>
              <w:top w:w="90" w:type="dxa"/>
              <w:bottom w:w="90" w:type="dxa"/>
              <w:left w:w="130" w:type="dxa"/>
              <w:right w:w="130" w:type="dxa"/>
            </w:tcMar>
          </w:tcPr>
          <w:p>
            <w:pPr>
              <w:spacing w:before="30" w:after="30"/>
              <w:jc w:val="left"/>
            </w:pPr>
            <w:r>
              <w:rPr>
                <w:rFonts w:ascii="Calibri" w:hAnsi="Calibri"/>
                <w:color w:val="1E293B"/>
                <w:sz w:val="18"/>
              </w:rPr>
              <w:t>Interactive Visuals</w:t>
            </w:r>
          </w:p>
        </w:tc>
        <w:tc>
          <w:tcPr>
            <w:tcW w:type="dxa" w:w="3168"/>
            <w:shd w:fill="FFFFFF"/>
            <w:tcMar>
              <w:top w:w="90" w:type="dxa"/>
              <w:bottom w:w="90" w:type="dxa"/>
              <w:left w:w="130" w:type="dxa"/>
              <w:right w:w="130" w:type="dxa"/>
            </w:tcMar>
          </w:tcPr>
          <w:p>
            <w:pPr>
              <w:spacing w:before="30" w:after="30"/>
              <w:jc w:val="left"/>
            </w:pPr>
            <w:r>
              <w:rPr>
                <w:rFonts w:ascii="Calibri" w:hAnsi="Calibri"/>
                <w:color w:val="1E293B"/>
                <w:sz w:val="18"/>
              </w:rPr>
              <w:t>Plotly Express, Graph Objects</w:t>
            </w:r>
          </w:p>
        </w:tc>
        <w:tc>
          <w:tcPr>
            <w:tcW w:type="dxa" w:w="4320"/>
            <w:shd w:fill="FFFFFF"/>
            <w:tcMar>
              <w:top w:w="90" w:type="dxa"/>
              <w:bottom w:w="90" w:type="dxa"/>
              <w:left w:w="130" w:type="dxa"/>
              <w:right w:w="130" w:type="dxa"/>
            </w:tcMar>
          </w:tcPr>
          <w:p>
            <w:pPr>
              <w:spacing w:before="30" w:after="30"/>
              <w:jc w:val="left"/>
            </w:pPr>
            <w:r>
              <w:rPr>
                <w:rFonts w:ascii="Calibri" w:hAnsi="Calibri"/>
                <w:color w:val="1E293B"/>
                <w:sz w:val="18"/>
              </w:rPr>
              <w:t>Dynamic interactive scatter plots, confidence intervals, revenue trendlines.</w:t>
            </w:r>
          </w:p>
        </w:tc>
      </w:tr>
      <w:tr>
        <w:tc>
          <w:tcPr>
            <w:tcW w:type="dxa" w:w="2304"/>
            <w:shd w:fill="F8FAFC"/>
            <w:tcMar>
              <w:top w:w="90" w:type="dxa"/>
              <w:bottom w:w="90" w:type="dxa"/>
              <w:left w:w="130" w:type="dxa"/>
              <w:right w:w="130" w:type="dxa"/>
            </w:tcMar>
          </w:tcPr>
          <w:p>
            <w:pPr>
              <w:spacing w:before="30" w:after="30"/>
              <w:jc w:val="left"/>
            </w:pPr>
            <w:r>
              <w:rPr>
                <w:rFonts w:ascii="Calibri" w:hAnsi="Calibri"/>
                <w:color w:val="1E293B"/>
                <w:sz w:val="18"/>
              </w:rPr>
              <w:t>Web Application</w:t>
            </w:r>
          </w:p>
        </w:tc>
        <w:tc>
          <w:tcPr>
            <w:tcW w:type="dxa" w:w="3168"/>
            <w:shd w:fill="F8FAFC"/>
            <w:tcMar>
              <w:top w:w="90" w:type="dxa"/>
              <w:bottom w:w="90" w:type="dxa"/>
              <w:left w:w="130" w:type="dxa"/>
              <w:right w:w="130" w:type="dxa"/>
            </w:tcMar>
          </w:tcPr>
          <w:p>
            <w:pPr>
              <w:spacing w:before="30" w:after="30"/>
              <w:jc w:val="left"/>
            </w:pPr>
            <w:r>
              <w:rPr>
                <w:rFonts w:ascii="Calibri" w:hAnsi="Calibri"/>
                <w:color w:val="1E293B"/>
                <w:sz w:val="18"/>
              </w:rPr>
              <w:t>Streamlit Multi-Page Framework</w:t>
            </w:r>
          </w:p>
        </w:tc>
        <w:tc>
          <w:tcPr>
            <w:tcW w:type="dxa" w:w="4320"/>
            <w:shd w:fill="F8FAFC"/>
            <w:tcMar>
              <w:top w:w="90" w:type="dxa"/>
              <w:bottom w:w="90" w:type="dxa"/>
              <w:left w:w="130" w:type="dxa"/>
              <w:right w:w="130" w:type="dxa"/>
            </w:tcMar>
          </w:tcPr>
          <w:p>
            <w:pPr>
              <w:spacing w:before="30" w:after="30"/>
              <w:jc w:val="left"/>
            </w:pPr>
            <w:r>
              <w:rPr>
                <w:rFonts w:ascii="Calibri" w:hAnsi="Calibri"/>
                <w:color w:val="1E293B"/>
                <w:sz w:val="18"/>
              </w:rPr>
              <w:t>7-page interactive planning dashboard for operations and merchandising.</w:t>
            </w:r>
          </w:p>
        </w:tc>
      </w:tr>
      <w:tr>
        <w:tc>
          <w:tcPr>
            <w:tcW w:type="dxa" w:w="2304"/>
            <w:shd w:fill="FFFFFF"/>
            <w:tcMar>
              <w:top w:w="90" w:type="dxa"/>
              <w:bottom w:w="90" w:type="dxa"/>
              <w:left w:w="130" w:type="dxa"/>
              <w:right w:w="130" w:type="dxa"/>
            </w:tcMar>
          </w:tcPr>
          <w:p>
            <w:pPr>
              <w:spacing w:before="30" w:after="30"/>
              <w:jc w:val="left"/>
            </w:pPr>
            <w:r>
              <w:rPr>
                <w:rFonts w:ascii="Calibri" w:hAnsi="Calibri"/>
                <w:color w:val="1E293B"/>
                <w:sz w:val="18"/>
              </w:rPr>
              <w:t>REST API Serving</w:t>
            </w:r>
          </w:p>
        </w:tc>
        <w:tc>
          <w:tcPr>
            <w:tcW w:type="dxa" w:w="3168"/>
            <w:shd w:fill="FFFFFF"/>
            <w:tcMar>
              <w:top w:w="90" w:type="dxa"/>
              <w:bottom w:w="90" w:type="dxa"/>
              <w:left w:w="130" w:type="dxa"/>
              <w:right w:w="130" w:type="dxa"/>
            </w:tcMar>
          </w:tcPr>
          <w:p>
            <w:pPr>
              <w:spacing w:before="30" w:after="30"/>
              <w:jc w:val="left"/>
            </w:pPr>
            <w:r>
              <w:rPr>
                <w:rFonts w:ascii="Calibri" w:hAnsi="Calibri"/>
                <w:color w:val="1E293B"/>
                <w:sz w:val="18"/>
              </w:rPr>
              <w:t>FastAPI, Uvicorn, Pydantic</w:t>
            </w:r>
          </w:p>
        </w:tc>
        <w:tc>
          <w:tcPr>
            <w:tcW w:type="dxa" w:w="4320"/>
            <w:shd w:fill="FFFFFF"/>
            <w:tcMar>
              <w:top w:w="90" w:type="dxa"/>
              <w:bottom w:w="90" w:type="dxa"/>
              <w:left w:w="130" w:type="dxa"/>
              <w:right w:w="130" w:type="dxa"/>
            </w:tcMar>
          </w:tcPr>
          <w:p>
            <w:pPr>
              <w:spacing w:before="30" w:after="30"/>
              <w:jc w:val="left"/>
            </w:pPr>
            <w:r>
              <w:rPr>
                <w:rFonts w:ascii="Calibri" w:hAnsi="Calibri"/>
                <w:color w:val="1E293B"/>
                <w:sz w:val="18"/>
              </w:rPr>
              <w:t>Production microservice endpoint for ERP integration and batch SKU scoring.</w:t>
            </w:r>
          </w:p>
        </w:tc>
      </w:tr>
      <w:tr>
        <w:tc>
          <w:tcPr>
            <w:tcW w:type="dxa" w:w="2304"/>
            <w:shd w:fill="F8FAFC"/>
            <w:tcMar>
              <w:top w:w="90" w:type="dxa"/>
              <w:bottom w:w="90" w:type="dxa"/>
              <w:left w:w="130" w:type="dxa"/>
              <w:right w:w="130" w:type="dxa"/>
            </w:tcMar>
          </w:tcPr>
          <w:p>
            <w:pPr>
              <w:spacing w:before="30" w:after="30"/>
              <w:jc w:val="left"/>
            </w:pPr>
            <w:r>
              <w:rPr>
                <w:rFonts w:ascii="Calibri" w:hAnsi="Calibri"/>
                <w:color w:val="1E293B"/>
                <w:sz w:val="18"/>
              </w:rPr>
              <w:t>Version Control</w:t>
            </w:r>
          </w:p>
        </w:tc>
        <w:tc>
          <w:tcPr>
            <w:tcW w:type="dxa" w:w="3168"/>
            <w:shd w:fill="F8FAFC"/>
            <w:tcMar>
              <w:top w:w="90" w:type="dxa"/>
              <w:bottom w:w="90" w:type="dxa"/>
              <w:left w:w="130" w:type="dxa"/>
              <w:right w:w="130" w:type="dxa"/>
            </w:tcMar>
          </w:tcPr>
          <w:p>
            <w:pPr>
              <w:spacing w:before="30" w:after="30"/>
              <w:jc w:val="left"/>
            </w:pPr>
            <w:r>
              <w:rPr>
                <w:rFonts w:ascii="Calibri" w:hAnsi="Calibri"/>
                <w:color w:val="1E293B"/>
                <w:sz w:val="18"/>
              </w:rPr>
              <w:t>Git, GitHub</w:t>
            </w:r>
          </w:p>
        </w:tc>
        <w:tc>
          <w:tcPr>
            <w:tcW w:type="dxa" w:w="4320"/>
            <w:shd w:fill="F8FAFC"/>
            <w:tcMar>
              <w:top w:w="90" w:type="dxa"/>
              <w:bottom w:w="90" w:type="dxa"/>
              <w:left w:w="130" w:type="dxa"/>
              <w:right w:w="130" w:type="dxa"/>
            </w:tcMar>
          </w:tcPr>
          <w:p>
            <w:pPr>
              <w:spacing w:before="30" w:after="30"/>
              <w:jc w:val="left"/>
            </w:pPr>
            <w:r>
              <w:rPr>
                <w:rFonts w:ascii="Calibri" w:hAnsi="Calibri"/>
                <w:color w:val="1E293B"/>
                <w:sz w:val="18"/>
              </w:rPr>
              <w:t>Collaborative development, change tracking, and public artifact hosting.</w:t>
            </w:r>
          </w:p>
        </w:tc>
      </w:tr>
    </w:tbl>
    <w:p>
      <w:pPr>
        <w:pStyle w:val="Heading1"/>
        <w:keepNext/>
        <w:spacing w:before="280" w:after="120"/>
      </w:pPr>
      <w:r>
        <w:rPr>
          <w:rFonts w:ascii="Calibri" w:hAnsi="Calibri"/>
          <w:b/>
          <w:color w:val="0F172A"/>
          <w:sz w:val="30"/>
        </w:rPr>
        <w:t>4. Chronological Progress Summary &amp; Weekly Phases</w:t>
      </w:r>
    </w:p>
    <w:p>
      <w:pPr>
        <w:spacing w:line="276" w:lineRule="auto" w:after="160"/>
      </w:pPr>
      <w:r>
        <w:t>The project followed an agile four-week commercial consulting cadence with scheduled client checkpoints:</w:t>
      </w:r>
    </w:p>
    <w:p>
      <w:pPr>
        <w:pStyle w:val="Heading2"/>
        <w:keepNext/>
        <w:spacing w:before="280" w:after="120"/>
      </w:pPr>
      <w:r>
        <w:rPr>
          <w:rFonts w:ascii="Calibri" w:hAnsi="Calibri"/>
          <w:b/>
          <w:color w:val="1E3A8A"/>
          <w:sz w:val="26"/>
        </w:rPr>
        <w:t>Phase 1: Foundations, Ingestion &amp; Data Wrangling (Week 1 / Milestone M1)</w:t>
      </w:r>
    </w:p>
    <w:p>
      <w:pPr>
        <w:pStyle w:val="ListBullet"/>
        <w:spacing w:after="50" w:line="276" w:lineRule="auto"/>
      </w:pPr>
      <w:r>
        <w:rPr>
          <w:rFonts w:ascii="Calibri" w:hAnsi="Calibri"/>
          <w:color w:val="334155"/>
          <w:sz w:val="19"/>
        </w:rPr>
        <w:t>Project Kickoff: Analyzed client engagement brief, clarified objectives, established git repository and environment.</w:t>
      </w:r>
    </w:p>
    <w:p>
      <w:pPr>
        <w:pStyle w:val="ListBullet"/>
        <w:spacing w:after="50" w:line="276" w:lineRule="auto"/>
      </w:pPr>
      <w:r>
        <w:rPr>
          <w:rFonts w:ascii="Calibri" w:hAnsi="Calibri"/>
          <w:color w:val="334155"/>
          <w:sz w:val="19"/>
        </w:rPr>
        <w:t>Raw Ingestion: Downloaded and processed the Online Retail II dataset (1,067,371 rows across 2009–2011).</w:t>
      </w:r>
    </w:p>
    <w:p>
      <w:pPr>
        <w:pStyle w:val="ListBullet"/>
        <w:spacing w:after="50" w:line="276" w:lineRule="auto"/>
      </w:pPr>
      <w:r>
        <w:rPr>
          <w:rFonts w:ascii="Calibri" w:hAnsi="Calibri"/>
          <w:color w:val="334155"/>
          <w:sz w:val="19"/>
        </w:rPr>
        <w:t>Data Cleansing: Filtered out return orders (Quantity &lt;= 0) and bad debt write-offs (Price &lt;= 0).</w:t>
      </w:r>
    </w:p>
    <w:p>
      <w:pPr>
        <w:pStyle w:val="ListBullet"/>
        <w:spacing w:after="50" w:line="276" w:lineRule="auto"/>
      </w:pPr>
      <w:r>
        <w:rPr>
          <w:rFonts w:ascii="Calibri" w:hAnsi="Calibri"/>
          <w:color w:val="334155"/>
          <w:sz w:val="19"/>
        </w:rPr>
        <w:t>Star Schema Formulation: Built sales_daily (532k rows), sku_master (4,917 SKUs), calendar (739 days), and inventory_snapshots (200 SKUs).</w:t>
      </w:r>
    </w:p>
    <w:p>
      <w:pPr>
        <w:pStyle w:val="ListBullet"/>
        <w:spacing w:after="50" w:line="276" w:lineRule="auto"/>
      </w:pPr>
      <w:r>
        <w:rPr>
          <w:rFonts w:ascii="Calibri" w:hAnsi="Calibri"/>
          <w:color w:val="334155"/>
          <w:sz w:val="19"/>
        </w:rPr>
        <w:t>Checkpoint M1 Delivered: Approved reproducible pipeline script (src/pipeline.py) and data foundation.</w:t>
      </w:r>
    </w:p>
    <w:p>
      <w:pPr>
        <w:pStyle w:val="Heading2"/>
        <w:keepNext/>
        <w:spacing w:before="280" w:after="120"/>
      </w:pPr>
      <w:r>
        <w:rPr>
          <w:rFonts w:ascii="Calibri" w:hAnsi="Calibri"/>
          <w:b/>
          <w:color w:val="1E3A8A"/>
          <w:sz w:val="26"/>
        </w:rPr>
        <w:t>Phase 2: Exploratory Data Analysis &amp; Feature Engineering (Week 2 / Milestone M2)</w:t>
      </w:r>
    </w:p>
    <w:p>
      <w:pPr>
        <w:pStyle w:val="ListBullet"/>
        <w:spacing w:after="50" w:line="276" w:lineRule="auto"/>
      </w:pPr>
      <w:r>
        <w:rPr>
          <w:rFonts w:ascii="Calibri" w:hAnsi="Calibri"/>
          <w:color w:val="334155"/>
          <w:sz w:val="19"/>
        </w:rPr>
        <w:t>EDA &amp; Pattern Mining: Quantified Q4 holiday seasonality surge (38% of revenue), Pareto 80/20 volume skew, and identified 18% dormant catalog SKUs.</w:t>
      </w:r>
    </w:p>
    <w:p>
      <w:pPr>
        <w:pStyle w:val="ListBullet"/>
        <w:spacing w:after="50" w:line="276" w:lineRule="auto"/>
      </w:pPr>
      <w:r>
        <w:rPr>
          <w:rFonts w:ascii="Calibri" w:hAnsi="Calibri"/>
          <w:color w:val="334155"/>
          <w:sz w:val="19"/>
        </w:rPr>
        <w:t>Feature Engineering: Created shifted temporal lags (t-1w, t-2w, t-4w, t-52w), rolling moving averages (4w, 8w), rolling volatility, and discount ratios.</w:t>
      </w:r>
    </w:p>
    <w:p>
      <w:pPr>
        <w:pStyle w:val="ListBullet"/>
        <w:spacing w:after="50" w:line="276" w:lineRule="auto"/>
      </w:pPr>
      <w:r>
        <w:rPr>
          <w:rFonts w:ascii="Calibri" w:hAnsi="Calibri"/>
          <w:color w:val="334155"/>
          <w:sz w:val="19"/>
        </w:rPr>
        <w:t>Baseline Construction: Formulated the Seasonal-Naive baseline predictor (107.8% WAPE) to serve as the hurdle metric.</w:t>
      </w:r>
    </w:p>
    <w:p>
      <w:pPr>
        <w:pStyle w:val="ListBullet"/>
        <w:spacing w:after="50" w:line="276" w:lineRule="auto"/>
      </w:pPr>
      <w:r>
        <w:rPr>
          <w:rFonts w:ascii="Calibri" w:hAnsi="Calibri"/>
          <w:color w:val="334155"/>
          <w:sz w:val="19"/>
        </w:rPr>
        <w:t>Checkpoint M2 Delivered: Approved EDA Insight Memo (reports/eda_insight_memo.md) and feature matrix.</w:t>
      </w:r>
    </w:p>
    <w:p>
      <w:pPr>
        <w:pStyle w:val="Heading2"/>
        <w:keepNext/>
        <w:spacing w:before="280" w:after="120"/>
      </w:pPr>
      <w:r>
        <w:rPr>
          <w:rFonts w:ascii="Calibri" w:hAnsi="Calibri"/>
          <w:b/>
          <w:color w:val="1E3A8A"/>
          <w:sz w:val="26"/>
        </w:rPr>
        <w:t>Phase 3: Multi-Model Demand Forecasting &amp; Backtesting (Week 3 / Milestone M3)</w:t>
      </w:r>
    </w:p>
    <w:p>
      <w:pPr>
        <w:pStyle w:val="ListBullet"/>
        <w:spacing w:after="50" w:line="276" w:lineRule="auto"/>
      </w:pPr>
      <w:r>
        <w:rPr>
          <w:rFonts w:ascii="Calibri" w:hAnsi="Calibri"/>
          <w:color w:val="334155"/>
          <w:sz w:val="19"/>
        </w:rPr>
        <w:t>Model Training: Fitted Random Forest, XGBoost, and LightGBM regressors on 198,412 weekly feature instances.</w:t>
      </w:r>
    </w:p>
    <w:p>
      <w:pPr>
        <w:pStyle w:val="ListBullet"/>
        <w:spacing w:after="50" w:line="276" w:lineRule="auto"/>
      </w:pPr>
      <w:r>
        <w:rPr>
          <w:rFonts w:ascii="Calibri" w:hAnsi="Calibri"/>
          <w:color w:val="334155"/>
          <w:sz w:val="19"/>
        </w:rPr>
        <w:t>Rolling Cross-Validation: Evaluated out-of-sample WAPE across 4 temporal folds with zero data leakage.</w:t>
      </w:r>
    </w:p>
    <w:p>
      <w:pPr>
        <w:pStyle w:val="ListBullet"/>
        <w:spacing w:after="50" w:line="276" w:lineRule="auto"/>
      </w:pPr>
      <w:r>
        <w:rPr>
          <w:rFonts w:ascii="Calibri" w:hAnsi="Calibri"/>
          <w:color w:val="334155"/>
          <w:sz w:val="19"/>
        </w:rPr>
        <w:t>Model Selection: LightGBM established clear victory with 72.9% WAPE, outperforming baseline by +34.9%.</w:t>
      </w:r>
    </w:p>
    <w:p>
      <w:pPr>
        <w:pStyle w:val="ListBullet"/>
        <w:spacing w:after="50" w:line="276" w:lineRule="auto"/>
      </w:pPr>
      <w:r>
        <w:rPr>
          <w:rFonts w:ascii="Calibri" w:hAnsi="Calibri"/>
          <w:color w:val="334155"/>
          <w:sz w:val="19"/>
        </w:rPr>
        <w:t>Checkpoint M3 Delivered: Validated backtest comparison script (src/forecast.py) and performance summary.</w:t>
      </w:r>
    </w:p>
    <w:p>
      <w:pPr>
        <w:pStyle w:val="Heading2"/>
        <w:keepNext/>
        <w:spacing w:before="280" w:after="120"/>
      </w:pPr>
      <w:r>
        <w:rPr>
          <w:rFonts w:ascii="Calibri" w:hAnsi="Calibri"/>
          <w:b/>
          <w:color w:val="1E3A8A"/>
          <w:sz w:val="26"/>
        </w:rPr>
        <w:t>Phase 4: Inventory Risk Scoring Engine &amp; Decision Matrix (Week 3-4 / Milestone M3)</w:t>
      </w:r>
    </w:p>
    <w:p>
      <w:pPr>
        <w:pStyle w:val="ListBullet"/>
        <w:spacing w:after="50" w:line="276" w:lineRule="auto"/>
      </w:pPr>
      <w:r>
        <w:rPr>
          <w:rFonts w:ascii="Calibri" w:hAnsi="Calibri"/>
          <w:color w:val="334155"/>
          <w:sz w:val="19"/>
        </w:rPr>
        <w:t>Deterministic Mechanics: Built lead time demand projections vs warehouse available stock (on-hand + on-order).</w:t>
      </w:r>
    </w:p>
    <w:p>
      <w:pPr>
        <w:pStyle w:val="ListBullet"/>
        <w:spacing w:after="50" w:line="276" w:lineRule="auto"/>
      </w:pPr>
      <w:r>
        <w:rPr>
          <w:rFonts w:ascii="Calibri" w:hAnsi="Calibri"/>
          <w:color w:val="334155"/>
          <w:sz w:val="19"/>
        </w:rPr>
        <w:t>2x2 Matrix Implementation: Coded assign_quadrant() to categorize SKUs into Reorder Now, Markdown/Clear, Watch/Volatile, and Healthy.</w:t>
      </w:r>
    </w:p>
    <w:p>
      <w:pPr>
        <w:pStyle w:val="ListBullet"/>
        <w:spacing w:after="50" w:line="276" w:lineRule="auto"/>
      </w:pPr>
      <w:r>
        <w:rPr>
          <w:rFonts w:ascii="Calibri" w:hAnsi="Calibri"/>
          <w:color w:val="334155"/>
          <w:sz w:val="19"/>
        </w:rPr>
        <w:t>Financial Quantification: Calculated exact rupee metrics for Sales at Risk (₹2,012) and Capital Locked (₹1,000,800).</w:t>
      </w:r>
    </w:p>
    <w:p>
      <w:pPr>
        <w:pStyle w:val="ListBullet"/>
        <w:spacing w:after="50" w:line="276" w:lineRule="auto"/>
      </w:pPr>
      <w:r>
        <w:rPr>
          <w:rFonts w:ascii="Calibri" w:hAnsi="Calibri"/>
          <w:color w:val="334155"/>
          <w:sz w:val="19"/>
        </w:rPr>
        <w:t>Output Reporting: Automatically generated reports/inventory_risk_decision_matrix.csv.</w:t>
      </w:r>
    </w:p>
    <w:p>
      <w:pPr>
        <w:pStyle w:val="Heading2"/>
        <w:keepNext/>
        <w:spacing w:before="280" w:after="120"/>
      </w:pPr>
      <w:r>
        <w:rPr>
          <w:rFonts w:ascii="Calibri" w:hAnsi="Calibri"/>
          <w:b/>
          <w:color w:val="1E3A8A"/>
          <w:sz w:val="26"/>
        </w:rPr>
        <w:t>Phase 5: Productization, Serving &amp; Client Handover (Week 4 / Milestone M4)</w:t>
      </w:r>
    </w:p>
    <w:p>
      <w:pPr>
        <w:pStyle w:val="ListBullet"/>
        <w:spacing w:after="50" w:line="276" w:lineRule="auto"/>
      </w:pPr>
      <w:r>
        <w:rPr>
          <w:rFonts w:ascii="Calibri" w:hAnsi="Calibri"/>
          <w:color w:val="334155"/>
          <w:sz w:val="19"/>
        </w:rPr>
        <w:t>Dashboard Engineering: Developed 7 distinct pages in Streamlit (Home, Sales Analytics, Forecast, Inventory, Risk, Product Details, Executive Summary).</w:t>
      </w:r>
    </w:p>
    <w:p>
      <w:pPr>
        <w:pStyle w:val="ListBullet"/>
        <w:spacing w:after="50" w:line="276" w:lineRule="auto"/>
      </w:pPr>
      <w:r>
        <w:rPr>
          <w:rFonts w:ascii="Calibri" w:hAnsi="Calibri"/>
          <w:color w:val="334155"/>
          <w:sz w:val="19"/>
        </w:rPr>
        <w:t>FastAPI REST Microservice: Built and tested service/api.py with /forecast/{sku_id} and /score-batch routes.</w:t>
      </w:r>
    </w:p>
    <w:p>
      <w:pPr>
        <w:pStyle w:val="ListBullet"/>
        <w:spacing w:after="50" w:line="276" w:lineRule="auto"/>
      </w:pPr>
      <w:r>
        <w:rPr>
          <w:rFonts w:ascii="Calibri" w:hAnsi="Calibri"/>
          <w:color w:val="334155"/>
          <w:sz w:val="19"/>
        </w:rPr>
        <w:t>Notebook Consolidation: Generated complete 15-cell standalone notebook (notebooks/project_foresight_complete_ml_pipeline.ipynb).</w:t>
      </w:r>
    </w:p>
    <w:p>
      <w:pPr>
        <w:pStyle w:val="ListBullet"/>
        <w:spacing w:after="50" w:line="276" w:lineRule="auto"/>
      </w:pPr>
      <w:r>
        <w:rPr>
          <w:rFonts w:ascii="Calibri" w:hAnsi="Calibri"/>
          <w:color w:val="334155"/>
          <w:sz w:val="19"/>
        </w:rPr>
        <w:t>Final Reporting: Authored 10-slide executive presentation, technical code review, and publication-ready PDF report.</w:t>
      </w:r>
    </w:p>
    <w:p>
      <w:pPr>
        <w:pStyle w:val="Heading1"/>
        <w:keepNext/>
        <w:spacing w:before="280" w:after="120"/>
      </w:pPr>
      <w:r>
        <w:rPr>
          <w:rFonts w:ascii="Calibri" w:hAnsi="Calibri"/>
          <w:b/>
          <w:color w:val="0F172A"/>
          <w:sz w:val="30"/>
        </w:rPr>
        <w:t>5. Core Project Implementation: Project FORESIGHT</w:t>
      </w:r>
    </w:p>
    <w:p>
      <w:pPr>
        <w:spacing w:line="276" w:lineRule="auto" w:after="160"/>
      </w:pPr>
      <w:r>
        <w:t>Project FORESIGHT is structured as an enterprise analytics stack. The technical core consists of three key mathematical and architectural components:</w:t>
      </w:r>
    </w:p>
    <w:p>
      <w:pPr>
        <w:pStyle w:val="Heading2"/>
        <w:keepNext/>
        <w:spacing w:before="280" w:after="120"/>
      </w:pPr>
      <w:r>
        <w:rPr>
          <w:rFonts w:ascii="Calibri" w:hAnsi="Calibri"/>
          <w:b/>
          <w:color w:val="1E3A8A"/>
          <w:sz w:val="26"/>
        </w:rPr>
        <w:t>5.1 System Architecture &amp; Information Flow</w:t>
      </w:r>
    </w:p>
    <w:p>
      <w:pPr>
        <w:spacing w:line="276" w:lineRule="auto" w:after="120"/>
      </w:pPr>
      <w:r>
        <w:t>The architecture follows a strict one-way dependency graph to ensure modularity and ease of maintenance:</w:t>
        <w:br/>
        <w:t>Raw Transaction Dumps  --&gt;  Data Cleaning &amp; NLP Categorization  --&gt;  Star Schema Fact &amp; Dimensions  --&gt;  Feature Engineering (Lags, Rolling Stats)  --&gt;  LightGBM Demand Forecaster  --&gt;  Deterministic Inventory Risk Engine  --&gt;  Streamlit 7-Page Dashboard &amp; FastAPI Service.</w:t>
      </w:r>
    </w:p>
    <w:p>
      <w:pPr>
        <w:pStyle w:val="Heading2"/>
        <w:keepNext/>
        <w:spacing w:before="280" w:after="120"/>
      </w:pPr>
      <w:r>
        <w:rPr>
          <w:rFonts w:ascii="Calibri" w:hAnsi="Calibri"/>
          <w:b/>
          <w:color w:val="1E3A8A"/>
          <w:sz w:val="26"/>
        </w:rPr>
        <w:t>5.2 Mathematical Formulas for Forecasting &amp; Risk Decisioning</w:t>
      </w:r>
    </w:p>
    <w:p>
      <w:pPr>
        <w:spacing w:line="288" w:lineRule="auto" w:after="160"/>
      </w:pPr>
      <w:r>
        <w:rPr>
          <w:rFonts w:ascii="Consolas" w:hAnsi="Consolas"/>
          <w:color w:val="1E293B"/>
          <w:sz w:val="17"/>
        </w:rPr>
        <w:t>1. Weighted Absolute Percentage Error (Primary Metric):</w:t>
        <w:br/>
        <w:t xml:space="preserve">   WAPE = Sum(|Actual_y - Predicted_y|) / Sum(Actual_y)</w:t>
        <w:br/>
        <w:br/>
        <w:t>2. Projected Demand Over Lead Time (D_LT):</w:t>
        <w:br/>
        <w:t xml:space="preserve">   D_LT = Weekly_Forecast * (Lead_Time_Days / 7.0)</w:t>
        <w:br/>
        <w:br/>
        <w:t>3. Total Available Stock (S_avail):</w:t>
        <w:br/>
        <w:t xml:space="preserve">   S_avail = On_Hand_Units + On_Order_Units</w:t>
        <w:br/>
        <w:br/>
        <w:t>4. Stockout Risk Score (0.0 to 1.0):</w:t>
        <w:br/>
        <w:t xml:space="preserve">   Stockout_Gap = max(0, D_LT - S_avail)</w:t>
        <w:br/>
        <w:t xml:space="preserve">   Stockout_Risk = clip( (D_LT - S_avail) / (D_LT + 1e-5), 0.0, 1.0 )</w:t>
        <w:br/>
        <w:br/>
        <w:t>5. Overstock Risk Score (0.0 to 1.0):</w:t>
        <w:br/>
        <w:t xml:space="preserve">   D_6W = Weekly_Forecast * 6.0</w:t>
        <w:br/>
        <w:t xml:space="preserve">   Overstock_Gap = max(0, On_Hand_Units - D_6W)</w:t>
        <w:br/>
        <w:t xml:space="preserve">   Overstock_Risk = clip( (On_Hand_Units - D_6W) / (On_Hand_Units + 1e-5), 0.0, 1.0 )</w:t>
        <w:br/>
        <w:br/>
        <w:t>6. Rupee Financial Quantifications:</w:t>
        <w:br/>
        <w:t xml:space="preserve">   Sales at Risk (INR) = Stockout_Gap * List_Price</w:t>
        <w:br/>
        <w:t xml:space="preserve">   Capital Locked (INR) = Overstock_Gap * Unit_Cost</w:t>
        <w:br/>
        <w:t xml:space="preserve">   Total at Stake (INR) = Sales_at_Risk + Capital_Locked</w:t>
      </w:r>
    </w:p>
    <w:p>
      <w:pPr>
        <w:pStyle w:val="Heading2"/>
        <w:keepNext/>
        <w:spacing w:before="280" w:after="120"/>
      </w:pPr>
      <w:r>
        <w:rPr>
          <w:rFonts w:ascii="Calibri" w:hAnsi="Calibri"/>
          <w:b/>
          <w:color w:val="1E3A8A"/>
          <w:sz w:val="26"/>
        </w:rPr>
        <w:t>5.3 Core Python Implementation (Risk Scoring &amp; Quadrant Assignment)</w:t>
      </w:r>
    </w:p>
    <w:p>
      <w:pPr>
        <w:spacing w:before="80" w:after="160"/>
      </w:pPr>
      <w:r>
        <w:rPr>
          <w:rFonts w:ascii="Consolas" w:hAnsi="Consolas"/>
          <w:color w:val="0F172A"/>
          <w:sz w:val="17"/>
        </w:rPr>
        <w:t>def assign_quadrant(row):</w:t>
        <w:br/>
        <w:t xml:space="preserve">    is_stockout = row['stockout_risk'] &gt; 0.25</w:t>
        <w:br/>
        <w:t xml:space="preserve">    is_overstock = row['overstock_risk'] &gt; 0.35</w:t>
        <w:br/>
        <w:t xml:space="preserve">    </w:t>
        <w:br/>
        <w:t xml:space="preserve">    if is_stockout and not is_overstock:</w:t>
        <w:br/>
        <w:t xml:space="preserve">        return 'Reorder Now'</w:t>
        <w:br/>
        <w:t xml:space="preserve">    elif is_overstock and not is_stockout:</w:t>
        <w:br/>
        <w:t xml:space="preserve">        return 'Markdown / Clear'</w:t>
        <w:br/>
        <w:t xml:space="preserve">    elif is_stockout and is_overstock:</w:t>
        <w:br/>
        <w:t xml:space="preserve">        return 'Watch / Volatile'</w:t>
        <w:br/>
        <w:t xml:space="preserve">    else:</w:t>
        <w:br/>
        <w:t xml:space="preserve">        return 'Healthy'</w:t>
        <w:br/>
        <w:br/>
        <w:t>action_map = {</w:t>
        <w:br/>
        <w:t xml:space="preserve">    'Reorder Now': 'Raise replenishment order before stock runs out.',</w:t>
        <w:br/>
        <w:t xml:space="preserve">    'Markdown / Clear': 'Promote or discount to free up locked capital.',</w:t>
        <w:br/>
        <w:t xml:space="preserve">    'Watch / Volatile': 'Investigate erratic demand; review manually.',</w:t>
        <w:br/>
        <w:t xml:space="preserve">    'Healthy': 'No action needed; inventory level optimal.'</w:t>
        <w:br/>
        <w:t>}</w:t>
      </w:r>
    </w:p>
    <w:p>
      <w:pPr>
        <w:pStyle w:val="Heading1"/>
        <w:keepNext/>
        <w:spacing w:before="280" w:after="120"/>
      </w:pPr>
      <w:r>
        <w:rPr>
          <w:rFonts w:ascii="Calibri" w:hAnsi="Calibri"/>
          <w:b/>
          <w:color w:val="0F172A"/>
          <w:sz w:val="30"/>
        </w:rPr>
        <w:t>6. Results, Benchmarking &amp; Model Evaluation</w:t>
      </w:r>
    </w:p>
    <w:p>
      <w:pPr>
        <w:spacing w:line="276" w:lineRule="auto" w:after="160"/>
      </w:pPr>
      <w:r>
        <w:t>The machine learning models were subjected to rigorous out-of-sample backtesting against the client's seasonal-naive baseline. The results across 4 rolling-origin temporal folds demonstrate clear machine learning superiority: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1152"/>
            <w:shd w:fill="1E293B"/>
            <w:tcMar>
              <w:top w:w="120" w:type="dxa"/>
              <w:bottom w:w="120" w:type="dxa"/>
              <w:left w:w="140" w:type="dxa"/>
              <w:right w:w="140" w:type="dxa"/>
            </w:tcMar>
          </w:tcPr>
          <w:p>
            <w:pPr>
              <w:spacing w:before="40" w:after="40"/>
              <w:jc w:val="center"/>
            </w:pPr>
            <w:r>
              <w:rPr>
                <w:rFonts w:ascii="Calibri" w:hAnsi="Calibri"/>
                <w:b/>
                <w:color w:val="FFFFFF"/>
                <w:sz w:val="19"/>
              </w:rPr>
              <w:t>Fold #</w:t>
            </w:r>
          </w:p>
        </w:tc>
        <w:tc>
          <w:tcPr>
            <w:tcW w:type="dxa" w:w="1728"/>
            <w:shd w:fill="1E293B"/>
            <w:tcMar>
              <w:top w:w="120" w:type="dxa"/>
              <w:bottom w:w="120" w:type="dxa"/>
              <w:left w:w="140" w:type="dxa"/>
              <w:right w:w="140" w:type="dxa"/>
            </w:tcMar>
          </w:tcPr>
          <w:p>
            <w:pPr>
              <w:spacing w:before="40" w:after="40"/>
              <w:jc w:val="center"/>
            </w:pPr>
            <w:r>
              <w:rPr>
                <w:rFonts w:ascii="Calibri" w:hAnsi="Calibri"/>
                <w:b/>
                <w:color w:val="FFFFFF"/>
                <w:sz w:val="19"/>
              </w:rPr>
              <w:t>Cutoff Date</w:t>
            </w:r>
          </w:p>
        </w:tc>
        <w:tc>
          <w:tcPr>
            <w:tcW w:type="dxa" w:w="1728"/>
            <w:shd w:fill="1E293B"/>
            <w:tcMar>
              <w:top w:w="120" w:type="dxa"/>
              <w:bottom w:w="120" w:type="dxa"/>
              <w:left w:w="140" w:type="dxa"/>
              <w:right w:w="140" w:type="dxa"/>
            </w:tcMar>
          </w:tcPr>
          <w:p>
            <w:pPr>
              <w:spacing w:before="40" w:after="40"/>
              <w:jc w:val="right"/>
            </w:pPr>
            <w:r>
              <w:rPr>
                <w:rFonts w:ascii="Calibri" w:hAnsi="Calibri"/>
                <w:b/>
                <w:color w:val="FFFFFF"/>
                <w:sz w:val="19"/>
              </w:rPr>
              <w:t>Seasonal-Naive WAPE</w:t>
            </w:r>
          </w:p>
        </w:tc>
        <w:tc>
          <w:tcPr>
            <w:tcW w:type="dxa" w:w="1728"/>
            <w:shd w:fill="1E293B"/>
            <w:tcMar>
              <w:top w:w="120" w:type="dxa"/>
              <w:bottom w:w="120" w:type="dxa"/>
              <w:left w:w="140" w:type="dxa"/>
              <w:right w:w="140" w:type="dxa"/>
            </w:tcMar>
          </w:tcPr>
          <w:p>
            <w:pPr>
              <w:spacing w:before="40" w:after="40"/>
              <w:jc w:val="right"/>
            </w:pPr>
            <w:r>
              <w:rPr>
                <w:rFonts w:ascii="Calibri" w:hAnsi="Calibri"/>
                <w:b/>
                <w:color w:val="FFFFFF"/>
                <w:sz w:val="19"/>
              </w:rPr>
              <w:t>Random Forest WAPE</w:t>
            </w:r>
          </w:p>
        </w:tc>
        <w:tc>
          <w:tcPr>
            <w:tcW w:type="dxa" w:w="1584"/>
            <w:shd w:fill="1E293B"/>
            <w:tcMar>
              <w:top w:w="120" w:type="dxa"/>
              <w:bottom w:w="120" w:type="dxa"/>
              <w:left w:w="140" w:type="dxa"/>
              <w:right w:w="140" w:type="dxa"/>
            </w:tcMar>
          </w:tcPr>
          <w:p>
            <w:pPr>
              <w:spacing w:before="40" w:after="40"/>
              <w:jc w:val="right"/>
            </w:pPr>
            <w:r>
              <w:rPr>
                <w:rFonts w:ascii="Calibri" w:hAnsi="Calibri"/>
                <w:b/>
                <w:color w:val="FFFFFF"/>
                <w:sz w:val="19"/>
              </w:rPr>
              <w:t>XGBoost WAPE</w:t>
            </w:r>
          </w:p>
        </w:tc>
        <w:tc>
          <w:tcPr>
            <w:tcW w:type="dxa" w:w="1872"/>
            <w:shd w:fill="1E293B"/>
            <w:tcMar>
              <w:top w:w="120" w:type="dxa"/>
              <w:bottom w:w="120" w:type="dxa"/>
              <w:left w:w="140" w:type="dxa"/>
              <w:right w:w="140" w:type="dxa"/>
            </w:tcMar>
          </w:tcPr>
          <w:p>
            <w:pPr>
              <w:spacing w:before="40" w:after="40"/>
              <w:jc w:val="right"/>
            </w:pPr>
            <w:r>
              <w:rPr>
                <w:rFonts w:ascii="Calibri" w:hAnsi="Calibri"/>
                <w:b/>
                <w:color w:val="FFFFFF"/>
                <w:sz w:val="19"/>
              </w:rPr>
              <w:t>LightGBM WAPE (Winner)</w:t>
            </w:r>
          </w:p>
        </w:tc>
      </w:tr>
      <w:tr>
        <w:tc>
          <w:tcPr>
            <w:tcW w:type="dxa" w:w="1152"/>
            <w:shd w:fill="FFFFFF"/>
            <w:tcMar>
              <w:top w:w="90" w:type="dxa"/>
              <w:bottom w:w="90" w:type="dxa"/>
              <w:left w:w="130" w:type="dxa"/>
              <w:right w:w="130" w:type="dxa"/>
            </w:tcMar>
          </w:tcPr>
          <w:p>
            <w:pPr>
              <w:spacing w:before="30" w:after="30"/>
              <w:jc w:val="center"/>
            </w:pPr>
            <w:r>
              <w:rPr>
                <w:rFonts w:ascii="Calibri" w:hAnsi="Calibri"/>
                <w:color w:val="1E293B"/>
                <w:sz w:val="18"/>
              </w:rPr>
              <w:t>Fold 1</w:t>
            </w:r>
          </w:p>
        </w:tc>
        <w:tc>
          <w:tcPr>
            <w:tcW w:type="dxa" w:w="1728"/>
            <w:shd w:fill="FFFFFF"/>
            <w:tcMar>
              <w:top w:w="90" w:type="dxa"/>
              <w:bottom w:w="90" w:type="dxa"/>
              <w:left w:w="130" w:type="dxa"/>
              <w:right w:w="130" w:type="dxa"/>
            </w:tcMar>
          </w:tcPr>
          <w:p>
            <w:pPr>
              <w:spacing w:before="30" w:after="30"/>
              <w:jc w:val="center"/>
            </w:pPr>
            <w:r>
              <w:rPr>
                <w:rFonts w:ascii="Calibri" w:hAnsi="Calibri"/>
                <w:color w:val="1E293B"/>
                <w:sz w:val="18"/>
              </w:rPr>
              <w:t>2011-11-22</w:t>
            </w:r>
          </w:p>
        </w:tc>
        <w:tc>
          <w:tcPr>
            <w:tcW w:type="dxa" w:w="1728"/>
            <w:shd w:fill="FFFFFF"/>
            <w:tcMar>
              <w:top w:w="90" w:type="dxa"/>
              <w:bottom w:w="90" w:type="dxa"/>
              <w:left w:w="130" w:type="dxa"/>
              <w:right w:w="130" w:type="dxa"/>
            </w:tcMar>
          </w:tcPr>
          <w:p>
            <w:pPr>
              <w:spacing w:before="30" w:after="30"/>
              <w:jc w:val="right"/>
            </w:pPr>
            <w:r>
              <w:rPr>
                <w:rFonts w:ascii="Calibri" w:hAnsi="Calibri"/>
                <w:color w:val="1E293B"/>
                <w:sz w:val="18"/>
              </w:rPr>
              <w:t>141.4%</w:t>
            </w:r>
          </w:p>
        </w:tc>
        <w:tc>
          <w:tcPr>
            <w:tcW w:type="dxa" w:w="1728"/>
            <w:shd w:fill="FFFFFF"/>
            <w:tcMar>
              <w:top w:w="90" w:type="dxa"/>
              <w:bottom w:w="90" w:type="dxa"/>
              <w:left w:w="130" w:type="dxa"/>
              <w:right w:w="130" w:type="dxa"/>
            </w:tcMar>
          </w:tcPr>
          <w:p>
            <w:pPr>
              <w:spacing w:before="30" w:after="30"/>
              <w:jc w:val="right"/>
            </w:pPr>
            <w:r>
              <w:rPr>
                <w:rFonts w:ascii="Calibri" w:hAnsi="Calibri"/>
                <w:color w:val="1E293B"/>
                <w:sz w:val="18"/>
              </w:rPr>
              <w:t>83.4%</w:t>
            </w:r>
          </w:p>
        </w:tc>
        <w:tc>
          <w:tcPr>
            <w:tcW w:type="dxa" w:w="1584"/>
            <w:shd w:fill="FFFFFF"/>
            <w:tcMar>
              <w:top w:w="90" w:type="dxa"/>
              <w:bottom w:w="90" w:type="dxa"/>
              <w:left w:w="130" w:type="dxa"/>
              <w:right w:w="130" w:type="dxa"/>
            </w:tcMar>
          </w:tcPr>
          <w:p>
            <w:pPr>
              <w:spacing w:before="30" w:after="30"/>
              <w:jc w:val="right"/>
            </w:pPr>
            <w:r>
              <w:rPr>
                <w:rFonts w:ascii="Calibri" w:hAnsi="Calibri"/>
                <w:color w:val="1E293B"/>
                <w:sz w:val="18"/>
              </w:rPr>
              <w:t>88.4%</w:t>
            </w:r>
          </w:p>
        </w:tc>
        <w:tc>
          <w:tcPr>
            <w:tcW w:type="dxa" w:w="1872"/>
            <w:shd w:fill="FFFFFF"/>
            <w:tcMar>
              <w:top w:w="90" w:type="dxa"/>
              <w:bottom w:w="90" w:type="dxa"/>
              <w:left w:w="130" w:type="dxa"/>
              <w:right w:w="130" w:type="dxa"/>
            </w:tcMar>
          </w:tcPr>
          <w:p>
            <w:pPr>
              <w:spacing w:before="30" w:after="30"/>
              <w:jc w:val="right"/>
            </w:pPr>
            <w:r>
              <w:rPr>
                <w:rFonts w:ascii="Calibri" w:hAnsi="Calibri"/>
                <w:color w:val="1E293B"/>
                <w:sz w:val="18"/>
              </w:rPr>
              <w:t>78.4%</w:t>
            </w:r>
          </w:p>
        </w:tc>
      </w:tr>
      <w:tr>
        <w:tc>
          <w:tcPr>
            <w:tcW w:type="dxa" w:w="1152"/>
            <w:shd w:fill="F8FAFC"/>
            <w:tcMar>
              <w:top w:w="90" w:type="dxa"/>
              <w:bottom w:w="90" w:type="dxa"/>
              <w:left w:w="130" w:type="dxa"/>
              <w:right w:w="130" w:type="dxa"/>
            </w:tcMar>
          </w:tcPr>
          <w:p>
            <w:pPr>
              <w:spacing w:before="30" w:after="30"/>
              <w:jc w:val="center"/>
            </w:pPr>
            <w:r>
              <w:rPr>
                <w:rFonts w:ascii="Calibri" w:hAnsi="Calibri"/>
                <w:color w:val="1E293B"/>
                <w:sz w:val="18"/>
              </w:rPr>
              <w:t>Fold 2</w:t>
            </w:r>
          </w:p>
        </w:tc>
        <w:tc>
          <w:tcPr>
            <w:tcW w:type="dxa" w:w="1728"/>
            <w:shd w:fill="F8FAFC"/>
            <w:tcMar>
              <w:top w:w="90" w:type="dxa"/>
              <w:bottom w:w="90" w:type="dxa"/>
              <w:left w:w="130" w:type="dxa"/>
              <w:right w:w="130" w:type="dxa"/>
            </w:tcMar>
          </w:tcPr>
          <w:p>
            <w:pPr>
              <w:spacing w:before="30" w:after="30"/>
              <w:jc w:val="center"/>
            </w:pPr>
            <w:r>
              <w:rPr>
                <w:rFonts w:ascii="Calibri" w:hAnsi="Calibri"/>
                <w:color w:val="1E293B"/>
                <w:sz w:val="18"/>
              </w:rPr>
              <w:t>2011-11-27</w:t>
            </w:r>
          </w:p>
        </w:tc>
        <w:tc>
          <w:tcPr>
            <w:tcW w:type="dxa" w:w="1728"/>
            <w:shd w:fill="F8FAFC"/>
            <w:tcMar>
              <w:top w:w="90" w:type="dxa"/>
              <w:bottom w:w="90" w:type="dxa"/>
              <w:left w:w="130" w:type="dxa"/>
              <w:right w:w="130" w:type="dxa"/>
            </w:tcMar>
          </w:tcPr>
          <w:p>
            <w:pPr>
              <w:spacing w:before="30" w:after="30"/>
              <w:jc w:val="right"/>
            </w:pPr>
            <w:r>
              <w:rPr>
                <w:rFonts w:ascii="Calibri" w:hAnsi="Calibri"/>
                <w:color w:val="1E293B"/>
                <w:sz w:val="18"/>
              </w:rPr>
              <w:t>76.9%</w:t>
            </w:r>
          </w:p>
        </w:tc>
        <w:tc>
          <w:tcPr>
            <w:tcW w:type="dxa" w:w="1728"/>
            <w:shd w:fill="F8FAFC"/>
            <w:tcMar>
              <w:top w:w="90" w:type="dxa"/>
              <w:bottom w:w="90" w:type="dxa"/>
              <w:left w:w="130" w:type="dxa"/>
              <w:right w:w="130" w:type="dxa"/>
            </w:tcMar>
          </w:tcPr>
          <w:p>
            <w:pPr>
              <w:spacing w:before="30" w:after="30"/>
              <w:jc w:val="right"/>
            </w:pPr>
            <w:r>
              <w:rPr>
                <w:rFonts w:ascii="Calibri" w:hAnsi="Calibri"/>
                <w:color w:val="1E293B"/>
                <w:sz w:val="18"/>
              </w:rPr>
              <w:t>56.7%</w:t>
            </w:r>
          </w:p>
        </w:tc>
        <w:tc>
          <w:tcPr>
            <w:tcW w:type="dxa" w:w="1584"/>
            <w:shd w:fill="F8FAFC"/>
            <w:tcMar>
              <w:top w:w="90" w:type="dxa"/>
              <w:bottom w:w="90" w:type="dxa"/>
              <w:left w:w="130" w:type="dxa"/>
              <w:right w:w="130" w:type="dxa"/>
            </w:tcMar>
          </w:tcPr>
          <w:p>
            <w:pPr>
              <w:spacing w:before="30" w:after="30"/>
              <w:jc w:val="right"/>
            </w:pPr>
            <w:r>
              <w:rPr>
                <w:rFonts w:ascii="Calibri" w:hAnsi="Calibri"/>
                <w:color w:val="1E293B"/>
                <w:sz w:val="18"/>
              </w:rPr>
              <w:t>56.5%</w:t>
            </w:r>
          </w:p>
        </w:tc>
        <w:tc>
          <w:tcPr>
            <w:tcW w:type="dxa" w:w="1872"/>
            <w:shd w:fill="F8FAFC"/>
            <w:tcMar>
              <w:top w:w="90" w:type="dxa"/>
              <w:bottom w:w="90" w:type="dxa"/>
              <w:left w:w="130" w:type="dxa"/>
              <w:right w:w="130" w:type="dxa"/>
            </w:tcMar>
          </w:tcPr>
          <w:p>
            <w:pPr>
              <w:spacing w:before="30" w:after="30"/>
              <w:jc w:val="right"/>
            </w:pPr>
            <w:r>
              <w:rPr>
                <w:rFonts w:ascii="Calibri" w:hAnsi="Calibri"/>
                <w:color w:val="1E293B"/>
                <w:sz w:val="18"/>
              </w:rPr>
              <w:t>53.4%</w:t>
            </w:r>
          </w:p>
        </w:tc>
      </w:tr>
      <w:tr>
        <w:tc>
          <w:tcPr>
            <w:tcW w:type="dxa" w:w="1152"/>
            <w:shd w:fill="FFFFFF"/>
            <w:tcMar>
              <w:top w:w="90" w:type="dxa"/>
              <w:bottom w:w="90" w:type="dxa"/>
              <w:left w:w="130" w:type="dxa"/>
              <w:right w:w="130" w:type="dxa"/>
            </w:tcMar>
          </w:tcPr>
          <w:p>
            <w:pPr>
              <w:spacing w:before="30" w:after="30"/>
              <w:jc w:val="center"/>
            </w:pPr>
            <w:r>
              <w:rPr>
                <w:rFonts w:ascii="Calibri" w:hAnsi="Calibri"/>
                <w:color w:val="1E293B"/>
                <w:sz w:val="18"/>
              </w:rPr>
              <w:t>Fold 3</w:t>
            </w:r>
          </w:p>
        </w:tc>
        <w:tc>
          <w:tcPr>
            <w:tcW w:type="dxa" w:w="1728"/>
            <w:shd w:fill="FFFFFF"/>
            <w:tcMar>
              <w:top w:w="90" w:type="dxa"/>
              <w:bottom w:w="90" w:type="dxa"/>
              <w:left w:w="130" w:type="dxa"/>
              <w:right w:w="130" w:type="dxa"/>
            </w:tcMar>
          </w:tcPr>
          <w:p>
            <w:pPr>
              <w:spacing w:before="30" w:after="30"/>
              <w:jc w:val="center"/>
            </w:pPr>
            <w:r>
              <w:rPr>
                <w:rFonts w:ascii="Calibri" w:hAnsi="Calibri"/>
                <w:color w:val="1E293B"/>
                <w:sz w:val="18"/>
              </w:rPr>
              <w:t>2011-12-01</w:t>
            </w:r>
          </w:p>
        </w:tc>
        <w:tc>
          <w:tcPr>
            <w:tcW w:type="dxa" w:w="1728"/>
            <w:shd w:fill="FFFFFF"/>
            <w:tcMar>
              <w:top w:w="90" w:type="dxa"/>
              <w:bottom w:w="90" w:type="dxa"/>
              <w:left w:w="130" w:type="dxa"/>
              <w:right w:w="130" w:type="dxa"/>
            </w:tcMar>
          </w:tcPr>
          <w:p>
            <w:pPr>
              <w:spacing w:before="30" w:after="30"/>
              <w:jc w:val="right"/>
            </w:pPr>
            <w:r>
              <w:rPr>
                <w:rFonts w:ascii="Calibri" w:hAnsi="Calibri"/>
                <w:color w:val="1E293B"/>
                <w:sz w:val="18"/>
              </w:rPr>
              <w:t>105.0%</w:t>
            </w:r>
          </w:p>
        </w:tc>
        <w:tc>
          <w:tcPr>
            <w:tcW w:type="dxa" w:w="1728"/>
            <w:shd w:fill="FFFFFF"/>
            <w:tcMar>
              <w:top w:w="90" w:type="dxa"/>
              <w:bottom w:w="90" w:type="dxa"/>
              <w:left w:w="130" w:type="dxa"/>
              <w:right w:w="130" w:type="dxa"/>
            </w:tcMar>
          </w:tcPr>
          <w:p>
            <w:pPr>
              <w:spacing w:before="30" w:after="30"/>
              <w:jc w:val="right"/>
            </w:pPr>
            <w:r>
              <w:rPr>
                <w:rFonts w:ascii="Calibri" w:hAnsi="Calibri"/>
                <w:color w:val="1E293B"/>
                <w:sz w:val="18"/>
              </w:rPr>
              <w:t>61.5%</w:t>
            </w:r>
          </w:p>
        </w:tc>
        <w:tc>
          <w:tcPr>
            <w:tcW w:type="dxa" w:w="1584"/>
            <w:shd w:fill="FFFFFF"/>
            <w:tcMar>
              <w:top w:w="90" w:type="dxa"/>
              <w:bottom w:w="90" w:type="dxa"/>
              <w:left w:w="130" w:type="dxa"/>
              <w:right w:w="130" w:type="dxa"/>
            </w:tcMar>
          </w:tcPr>
          <w:p>
            <w:pPr>
              <w:spacing w:before="30" w:after="30"/>
              <w:jc w:val="right"/>
            </w:pPr>
            <w:r>
              <w:rPr>
                <w:rFonts w:ascii="Calibri" w:hAnsi="Calibri"/>
                <w:color w:val="1E293B"/>
                <w:sz w:val="18"/>
              </w:rPr>
              <w:t>59.9%</w:t>
            </w:r>
          </w:p>
        </w:tc>
        <w:tc>
          <w:tcPr>
            <w:tcW w:type="dxa" w:w="1872"/>
            <w:shd w:fill="FFFFFF"/>
            <w:tcMar>
              <w:top w:w="90" w:type="dxa"/>
              <w:bottom w:w="90" w:type="dxa"/>
              <w:left w:w="130" w:type="dxa"/>
              <w:right w:w="130" w:type="dxa"/>
            </w:tcMar>
          </w:tcPr>
          <w:p>
            <w:pPr>
              <w:spacing w:before="30" w:after="30"/>
              <w:jc w:val="right"/>
            </w:pPr>
            <w:r>
              <w:rPr>
                <w:rFonts w:ascii="Calibri" w:hAnsi="Calibri"/>
                <w:color w:val="1E293B"/>
                <w:sz w:val="18"/>
              </w:rPr>
              <w:t>59.8%</w:t>
            </w:r>
          </w:p>
        </w:tc>
      </w:tr>
      <w:tr>
        <w:tc>
          <w:tcPr>
            <w:tcW w:type="dxa" w:w="1152"/>
            <w:shd w:fill="F8FAFC"/>
            <w:tcMar>
              <w:top w:w="90" w:type="dxa"/>
              <w:bottom w:w="90" w:type="dxa"/>
              <w:left w:w="130" w:type="dxa"/>
              <w:right w:w="130" w:type="dxa"/>
            </w:tcMar>
          </w:tcPr>
          <w:p>
            <w:pPr>
              <w:spacing w:before="30" w:after="30"/>
              <w:jc w:val="center"/>
            </w:pPr>
            <w:r>
              <w:rPr>
                <w:rFonts w:ascii="Calibri" w:hAnsi="Calibri"/>
                <w:color w:val="1E293B"/>
                <w:sz w:val="18"/>
              </w:rPr>
              <w:t>Fold 4</w:t>
            </w:r>
          </w:p>
        </w:tc>
        <w:tc>
          <w:tcPr>
            <w:tcW w:type="dxa" w:w="1728"/>
            <w:shd w:fill="F8FAFC"/>
            <w:tcMar>
              <w:top w:w="90" w:type="dxa"/>
              <w:bottom w:w="90" w:type="dxa"/>
              <w:left w:w="130" w:type="dxa"/>
              <w:right w:w="130" w:type="dxa"/>
            </w:tcMar>
          </w:tcPr>
          <w:p>
            <w:pPr>
              <w:spacing w:before="30" w:after="30"/>
              <w:jc w:val="center"/>
            </w:pPr>
            <w:r>
              <w:rPr>
                <w:rFonts w:ascii="Calibri" w:hAnsi="Calibri"/>
                <w:color w:val="1E293B"/>
                <w:sz w:val="18"/>
              </w:rPr>
              <w:t>2011-12-06</w:t>
            </w:r>
          </w:p>
        </w:tc>
        <w:tc>
          <w:tcPr>
            <w:tcW w:type="dxa" w:w="1728"/>
            <w:shd w:fill="F8FAFC"/>
            <w:tcMar>
              <w:top w:w="90" w:type="dxa"/>
              <w:bottom w:w="90" w:type="dxa"/>
              <w:left w:w="130" w:type="dxa"/>
              <w:right w:w="130" w:type="dxa"/>
            </w:tcMar>
          </w:tcPr>
          <w:p>
            <w:pPr>
              <w:spacing w:before="30" w:after="30"/>
              <w:jc w:val="right"/>
            </w:pPr>
            <w:r>
              <w:rPr>
                <w:rFonts w:ascii="Calibri" w:hAnsi="Calibri"/>
                <w:color w:val="1E293B"/>
                <w:sz w:val="18"/>
              </w:rPr>
              <w:t>108.1%</w:t>
            </w:r>
          </w:p>
        </w:tc>
        <w:tc>
          <w:tcPr>
            <w:tcW w:type="dxa" w:w="1728"/>
            <w:shd w:fill="F8FAFC"/>
            <w:tcMar>
              <w:top w:w="90" w:type="dxa"/>
              <w:bottom w:w="90" w:type="dxa"/>
              <w:left w:w="130" w:type="dxa"/>
              <w:right w:w="130" w:type="dxa"/>
            </w:tcMar>
          </w:tcPr>
          <w:p>
            <w:pPr>
              <w:spacing w:before="30" w:after="30"/>
              <w:jc w:val="right"/>
            </w:pPr>
            <w:r>
              <w:rPr>
                <w:rFonts w:ascii="Calibri" w:hAnsi="Calibri"/>
                <w:color w:val="1E293B"/>
                <w:sz w:val="18"/>
              </w:rPr>
              <w:t>100.5%</w:t>
            </w:r>
          </w:p>
        </w:tc>
        <w:tc>
          <w:tcPr>
            <w:tcW w:type="dxa" w:w="1584"/>
            <w:shd w:fill="F8FAFC"/>
            <w:tcMar>
              <w:top w:w="90" w:type="dxa"/>
              <w:bottom w:w="90" w:type="dxa"/>
              <w:left w:w="130" w:type="dxa"/>
              <w:right w:w="130" w:type="dxa"/>
            </w:tcMar>
          </w:tcPr>
          <w:p>
            <w:pPr>
              <w:spacing w:before="30" w:after="30"/>
              <w:jc w:val="right"/>
            </w:pPr>
            <w:r>
              <w:rPr>
                <w:rFonts w:ascii="Calibri" w:hAnsi="Calibri"/>
                <w:color w:val="1E293B"/>
                <w:sz w:val="18"/>
              </w:rPr>
              <w:t>100.3%</w:t>
            </w:r>
          </w:p>
        </w:tc>
        <w:tc>
          <w:tcPr>
            <w:tcW w:type="dxa" w:w="1872"/>
            <w:shd w:fill="F8FAFC"/>
            <w:tcMar>
              <w:top w:w="90" w:type="dxa"/>
              <w:bottom w:w="90" w:type="dxa"/>
              <w:left w:w="130" w:type="dxa"/>
              <w:right w:w="130" w:type="dxa"/>
            </w:tcMar>
          </w:tcPr>
          <w:p>
            <w:pPr>
              <w:spacing w:before="30" w:after="30"/>
              <w:jc w:val="right"/>
            </w:pPr>
            <w:r>
              <w:rPr>
                <w:rFonts w:ascii="Calibri" w:hAnsi="Calibri"/>
                <w:color w:val="1E293B"/>
                <w:sz w:val="18"/>
              </w:rPr>
              <w:t>99.9%</w:t>
            </w:r>
          </w:p>
        </w:tc>
      </w:tr>
      <w:tr>
        <w:tc>
          <w:tcPr>
            <w:tcW w:type="dxa" w:w="1152"/>
            <w:shd w:fill="FFFFFF"/>
            <w:tcMar>
              <w:top w:w="90" w:type="dxa"/>
              <w:bottom w:w="90" w:type="dxa"/>
              <w:left w:w="130" w:type="dxa"/>
              <w:right w:w="130" w:type="dxa"/>
            </w:tcMar>
          </w:tcPr>
          <w:p>
            <w:pPr>
              <w:spacing w:before="30" w:after="30"/>
              <w:jc w:val="center"/>
            </w:pPr>
            <w:r>
              <w:rPr>
                <w:rFonts w:ascii="Calibri" w:hAnsi="Calibri"/>
                <w:color w:val="1E293B"/>
                <w:sz w:val="18"/>
              </w:rPr>
              <w:t>Average</w:t>
            </w:r>
          </w:p>
        </w:tc>
        <w:tc>
          <w:tcPr>
            <w:tcW w:type="dxa" w:w="1728"/>
            <w:shd w:fill="FFFFFF"/>
            <w:tcMar>
              <w:top w:w="90" w:type="dxa"/>
              <w:bottom w:w="90" w:type="dxa"/>
              <w:left w:w="130" w:type="dxa"/>
              <w:right w:w="130" w:type="dxa"/>
            </w:tcMar>
          </w:tcPr>
          <w:p>
            <w:pPr>
              <w:spacing w:before="30" w:after="30"/>
              <w:jc w:val="center"/>
            </w:pPr>
            <w:r>
              <w:rPr>
                <w:rFonts w:ascii="Calibri" w:hAnsi="Calibri"/>
                <w:color w:val="1E293B"/>
                <w:sz w:val="18"/>
              </w:rPr>
              <w:t>Mean Out-of-Sample</w:t>
            </w:r>
          </w:p>
        </w:tc>
        <w:tc>
          <w:tcPr>
            <w:tcW w:type="dxa" w:w="1728"/>
            <w:shd w:fill="FFFFFF"/>
            <w:tcMar>
              <w:top w:w="90" w:type="dxa"/>
              <w:bottom w:w="90" w:type="dxa"/>
              <w:left w:w="130" w:type="dxa"/>
              <w:right w:w="130" w:type="dxa"/>
            </w:tcMar>
          </w:tcPr>
          <w:p>
            <w:pPr>
              <w:spacing w:before="30" w:after="30"/>
              <w:jc w:val="right"/>
            </w:pPr>
            <w:r>
              <w:rPr>
                <w:rFonts w:ascii="Calibri" w:hAnsi="Calibri"/>
                <w:color w:val="1E293B"/>
                <w:sz w:val="18"/>
              </w:rPr>
              <w:t>107.8%</w:t>
            </w:r>
          </w:p>
        </w:tc>
        <w:tc>
          <w:tcPr>
            <w:tcW w:type="dxa" w:w="1728"/>
            <w:shd w:fill="FFFFFF"/>
            <w:tcMar>
              <w:top w:w="90" w:type="dxa"/>
              <w:bottom w:w="90" w:type="dxa"/>
              <w:left w:w="130" w:type="dxa"/>
              <w:right w:w="130" w:type="dxa"/>
            </w:tcMar>
          </w:tcPr>
          <w:p>
            <w:pPr>
              <w:spacing w:before="30" w:after="30"/>
              <w:jc w:val="right"/>
            </w:pPr>
            <w:r>
              <w:rPr>
                <w:rFonts w:ascii="Calibri" w:hAnsi="Calibri"/>
                <w:color w:val="1E293B"/>
                <w:sz w:val="18"/>
              </w:rPr>
              <w:t>75.5%</w:t>
            </w:r>
          </w:p>
        </w:tc>
        <w:tc>
          <w:tcPr>
            <w:tcW w:type="dxa" w:w="1584"/>
            <w:shd w:fill="FFFFFF"/>
            <w:tcMar>
              <w:top w:w="90" w:type="dxa"/>
              <w:bottom w:w="90" w:type="dxa"/>
              <w:left w:w="130" w:type="dxa"/>
              <w:right w:w="130" w:type="dxa"/>
            </w:tcMar>
          </w:tcPr>
          <w:p>
            <w:pPr>
              <w:spacing w:before="30" w:after="30"/>
              <w:jc w:val="right"/>
            </w:pPr>
            <w:r>
              <w:rPr>
                <w:rFonts w:ascii="Calibri" w:hAnsi="Calibri"/>
                <w:color w:val="1E293B"/>
                <w:sz w:val="18"/>
              </w:rPr>
              <w:t>76.3%</w:t>
            </w:r>
          </w:p>
        </w:tc>
        <w:tc>
          <w:tcPr>
            <w:tcW w:type="dxa" w:w="1872"/>
            <w:shd w:fill="FFFFFF"/>
            <w:tcMar>
              <w:top w:w="90" w:type="dxa"/>
              <w:bottom w:w="90" w:type="dxa"/>
              <w:left w:w="130" w:type="dxa"/>
              <w:right w:w="130" w:type="dxa"/>
            </w:tcMar>
          </w:tcPr>
          <w:p>
            <w:pPr>
              <w:spacing w:before="30" w:after="30"/>
              <w:jc w:val="right"/>
            </w:pPr>
            <w:r>
              <w:rPr>
                <w:rFonts w:ascii="Calibri" w:hAnsi="Calibri"/>
                <w:color w:val="1E293B"/>
                <w:sz w:val="18"/>
              </w:rPr>
              <w:t>72.9% (-34.9%)</w:t>
            </w:r>
          </w:p>
        </w:tc>
      </w:tr>
    </w:tbl>
    <w:p>
      <w:pPr>
        <w:spacing w:before="80" w:after="120"/>
      </w:pPr>
    </w:p>
    <w:p>
      <w:pPr>
        <w:pStyle w:val="Heading2"/>
        <w:keepNext/>
        <w:spacing w:before="280" w:after="120"/>
      </w:pPr>
      <w:r>
        <w:rPr>
          <w:rFonts w:ascii="Calibri" w:hAnsi="Calibri"/>
          <w:b/>
          <w:color w:val="1E3A8A"/>
          <w:sz w:val="26"/>
        </w:rPr>
        <w:t>6.1 Inventory Risk Quadrant Distribution &amp; Financial Impact</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016"/>
            <w:shd w:fill="1E293B"/>
            <w:tcMar>
              <w:top w:w="120" w:type="dxa"/>
              <w:bottom w:w="120" w:type="dxa"/>
              <w:left w:w="140" w:type="dxa"/>
              <w:right w:w="140" w:type="dxa"/>
            </w:tcMar>
          </w:tcPr>
          <w:p>
            <w:pPr>
              <w:spacing w:before="40" w:after="40"/>
              <w:jc w:val="left"/>
            </w:pPr>
            <w:r>
              <w:rPr>
                <w:rFonts w:ascii="Calibri" w:hAnsi="Calibri"/>
                <w:b/>
                <w:color w:val="FFFFFF"/>
                <w:sz w:val="19"/>
              </w:rPr>
              <w:t>Decision Quadrant</w:t>
            </w:r>
          </w:p>
        </w:tc>
        <w:tc>
          <w:tcPr>
            <w:tcW w:type="dxa" w:w="1152"/>
            <w:shd w:fill="1E293B"/>
            <w:tcMar>
              <w:top w:w="120" w:type="dxa"/>
              <w:bottom w:w="120" w:type="dxa"/>
              <w:left w:w="140" w:type="dxa"/>
              <w:right w:w="140" w:type="dxa"/>
            </w:tcMar>
          </w:tcPr>
          <w:p>
            <w:pPr>
              <w:spacing w:before="40" w:after="40"/>
              <w:jc w:val="center"/>
            </w:pPr>
            <w:r>
              <w:rPr>
                <w:rFonts w:ascii="Calibri" w:hAnsi="Calibri"/>
                <w:b/>
                <w:color w:val="FFFFFF"/>
                <w:sz w:val="19"/>
              </w:rPr>
              <w:t>SKU Count</w:t>
            </w:r>
          </w:p>
        </w:tc>
        <w:tc>
          <w:tcPr>
            <w:tcW w:type="dxa" w:w="1296"/>
            <w:shd w:fill="1E293B"/>
            <w:tcMar>
              <w:top w:w="120" w:type="dxa"/>
              <w:bottom w:w="120" w:type="dxa"/>
              <w:left w:w="140" w:type="dxa"/>
              <w:right w:w="140" w:type="dxa"/>
            </w:tcMar>
          </w:tcPr>
          <w:p>
            <w:pPr>
              <w:spacing w:before="40" w:after="40"/>
              <w:jc w:val="center"/>
            </w:pPr>
            <w:r>
              <w:rPr>
                <w:rFonts w:ascii="Calibri" w:hAnsi="Calibri"/>
                <w:b/>
                <w:color w:val="FFFFFF"/>
                <w:sz w:val="19"/>
              </w:rPr>
              <w:t>Percentage</w:t>
            </w:r>
          </w:p>
        </w:tc>
        <w:tc>
          <w:tcPr>
            <w:tcW w:type="dxa" w:w="2592"/>
            <w:shd w:fill="1E293B"/>
            <w:tcMar>
              <w:top w:w="120" w:type="dxa"/>
              <w:bottom w:w="120" w:type="dxa"/>
              <w:left w:w="140" w:type="dxa"/>
              <w:right w:w="140" w:type="dxa"/>
            </w:tcMar>
          </w:tcPr>
          <w:p>
            <w:pPr>
              <w:spacing w:before="40" w:after="40"/>
              <w:jc w:val="right"/>
            </w:pPr>
            <w:r>
              <w:rPr>
                <w:rFonts w:ascii="Calibri" w:hAnsi="Calibri"/>
                <w:b/>
                <w:color w:val="FFFFFF"/>
                <w:sz w:val="19"/>
              </w:rPr>
              <w:t>Financial Value (INR)</w:t>
            </w:r>
          </w:p>
        </w:tc>
        <w:tc>
          <w:tcPr>
            <w:tcW w:type="dxa" w:w="2736"/>
            <w:shd w:fill="1E293B"/>
            <w:tcMar>
              <w:top w:w="120" w:type="dxa"/>
              <w:bottom w:w="120" w:type="dxa"/>
              <w:left w:w="140" w:type="dxa"/>
              <w:right w:w="140" w:type="dxa"/>
            </w:tcMar>
          </w:tcPr>
          <w:p>
            <w:pPr>
              <w:spacing w:before="40" w:after="40"/>
              <w:jc w:val="left"/>
            </w:pPr>
            <w:r>
              <w:rPr>
                <w:rFonts w:ascii="Calibri" w:hAnsi="Calibri"/>
                <w:b/>
                <w:color w:val="FFFFFF"/>
                <w:sz w:val="19"/>
              </w:rPr>
              <w:t>Primary Prescribed Operational Action</w:t>
            </w:r>
          </w:p>
        </w:tc>
      </w:tr>
      <w:tr>
        <w:tc>
          <w:tcPr>
            <w:tcW w:type="dxa" w:w="2016"/>
            <w:shd w:fill="FFFFFF"/>
            <w:tcMar>
              <w:top w:w="90" w:type="dxa"/>
              <w:bottom w:w="90" w:type="dxa"/>
              <w:left w:w="130" w:type="dxa"/>
              <w:right w:w="130" w:type="dxa"/>
            </w:tcMar>
          </w:tcPr>
          <w:p>
            <w:pPr>
              <w:spacing w:before="30" w:after="30"/>
              <w:jc w:val="left"/>
            </w:pPr>
            <w:r>
              <w:rPr>
                <w:rFonts w:ascii="Calibri" w:hAnsi="Calibri"/>
                <w:color w:val="1E293B"/>
                <w:sz w:val="18"/>
              </w:rPr>
              <w:t>Reorder Now</w:t>
            </w:r>
          </w:p>
        </w:tc>
        <w:tc>
          <w:tcPr>
            <w:tcW w:type="dxa" w:w="1152"/>
            <w:shd w:fill="FFFFFF"/>
            <w:tcMar>
              <w:top w:w="90" w:type="dxa"/>
              <w:bottom w:w="90" w:type="dxa"/>
              <w:left w:w="130" w:type="dxa"/>
              <w:right w:w="130" w:type="dxa"/>
            </w:tcMar>
          </w:tcPr>
          <w:p>
            <w:pPr>
              <w:spacing w:before="30" w:after="30"/>
              <w:jc w:val="center"/>
            </w:pPr>
            <w:r>
              <w:rPr>
                <w:rFonts w:ascii="Calibri" w:hAnsi="Calibri"/>
                <w:color w:val="1E293B"/>
                <w:sz w:val="18"/>
              </w:rPr>
              <w:t>1 SKU</w:t>
            </w:r>
          </w:p>
        </w:tc>
        <w:tc>
          <w:tcPr>
            <w:tcW w:type="dxa" w:w="1296"/>
            <w:shd w:fill="FFFFFF"/>
            <w:tcMar>
              <w:top w:w="90" w:type="dxa"/>
              <w:bottom w:w="90" w:type="dxa"/>
              <w:left w:w="130" w:type="dxa"/>
              <w:right w:w="130" w:type="dxa"/>
            </w:tcMar>
          </w:tcPr>
          <w:p>
            <w:pPr>
              <w:spacing w:before="30" w:after="30"/>
              <w:jc w:val="center"/>
            </w:pPr>
            <w:r>
              <w:rPr>
                <w:rFonts w:ascii="Calibri" w:hAnsi="Calibri"/>
                <w:color w:val="1E293B"/>
                <w:sz w:val="18"/>
              </w:rPr>
              <w:t>0.5%</w:t>
            </w:r>
          </w:p>
        </w:tc>
        <w:tc>
          <w:tcPr>
            <w:tcW w:type="dxa" w:w="2592"/>
            <w:shd w:fill="FFFFFF"/>
            <w:tcMar>
              <w:top w:w="90" w:type="dxa"/>
              <w:bottom w:w="90" w:type="dxa"/>
              <w:left w:w="130" w:type="dxa"/>
              <w:right w:w="130" w:type="dxa"/>
            </w:tcMar>
          </w:tcPr>
          <w:p>
            <w:pPr>
              <w:spacing w:before="30" w:after="30"/>
              <w:jc w:val="right"/>
            </w:pPr>
            <w:r>
              <w:rPr>
                <w:rFonts w:ascii="Calibri" w:hAnsi="Calibri"/>
                <w:color w:val="1E293B"/>
                <w:sz w:val="18"/>
              </w:rPr>
              <w:t>₹2,012.21 (Sales at Risk)</w:t>
            </w:r>
          </w:p>
        </w:tc>
        <w:tc>
          <w:tcPr>
            <w:tcW w:type="dxa" w:w="2736"/>
            <w:shd w:fill="FFFFFF"/>
            <w:tcMar>
              <w:top w:w="90" w:type="dxa"/>
              <w:bottom w:w="90" w:type="dxa"/>
              <w:left w:w="130" w:type="dxa"/>
              <w:right w:w="130" w:type="dxa"/>
            </w:tcMar>
          </w:tcPr>
          <w:p>
            <w:pPr>
              <w:spacing w:before="30" w:after="30"/>
              <w:jc w:val="left"/>
            </w:pPr>
            <w:r>
              <w:rPr>
                <w:rFonts w:ascii="Calibri" w:hAnsi="Calibri"/>
                <w:color w:val="1E293B"/>
                <w:sz w:val="18"/>
              </w:rPr>
              <w:t>Issue immediate replenishment PO before stock depresses.</w:t>
            </w:r>
          </w:p>
        </w:tc>
      </w:tr>
      <w:tr>
        <w:tc>
          <w:tcPr>
            <w:tcW w:type="dxa" w:w="2016"/>
            <w:shd w:fill="F8FAFC"/>
            <w:tcMar>
              <w:top w:w="90" w:type="dxa"/>
              <w:bottom w:w="90" w:type="dxa"/>
              <w:left w:w="130" w:type="dxa"/>
              <w:right w:w="130" w:type="dxa"/>
            </w:tcMar>
          </w:tcPr>
          <w:p>
            <w:pPr>
              <w:spacing w:before="30" w:after="30"/>
              <w:jc w:val="left"/>
            </w:pPr>
            <w:r>
              <w:rPr>
                <w:rFonts w:ascii="Calibri" w:hAnsi="Calibri"/>
                <w:color w:val="1E293B"/>
                <w:sz w:val="18"/>
              </w:rPr>
              <w:t>Markdown / Clear</w:t>
            </w:r>
          </w:p>
        </w:tc>
        <w:tc>
          <w:tcPr>
            <w:tcW w:type="dxa" w:w="1152"/>
            <w:shd w:fill="F8FAFC"/>
            <w:tcMar>
              <w:top w:w="90" w:type="dxa"/>
              <w:bottom w:w="90" w:type="dxa"/>
              <w:left w:w="130" w:type="dxa"/>
              <w:right w:w="130" w:type="dxa"/>
            </w:tcMar>
          </w:tcPr>
          <w:p>
            <w:pPr>
              <w:spacing w:before="30" w:after="30"/>
              <w:jc w:val="center"/>
            </w:pPr>
            <w:r>
              <w:rPr>
                <w:rFonts w:ascii="Calibri" w:hAnsi="Calibri"/>
                <w:color w:val="1E293B"/>
                <w:sz w:val="18"/>
              </w:rPr>
              <w:t>45 SKUs</w:t>
            </w:r>
          </w:p>
        </w:tc>
        <w:tc>
          <w:tcPr>
            <w:tcW w:type="dxa" w:w="1296"/>
            <w:shd w:fill="F8FAFC"/>
            <w:tcMar>
              <w:top w:w="90" w:type="dxa"/>
              <w:bottom w:w="90" w:type="dxa"/>
              <w:left w:w="130" w:type="dxa"/>
              <w:right w:w="130" w:type="dxa"/>
            </w:tcMar>
          </w:tcPr>
          <w:p>
            <w:pPr>
              <w:spacing w:before="30" w:after="30"/>
              <w:jc w:val="center"/>
            </w:pPr>
            <w:r>
              <w:rPr>
                <w:rFonts w:ascii="Calibri" w:hAnsi="Calibri"/>
                <w:color w:val="1E293B"/>
                <w:sz w:val="18"/>
              </w:rPr>
              <w:t>22.5%</w:t>
            </w:r>
          </w:p>
        </w:tc>
        <w:tc>
          <w:tcPr>
            <w:tcW w:type="dxa" w:w="2592"/>
            <w:shd w:fill="F8FAFC"/>
            <w:tcMar>
              <w:top w:w="90" w:type="dxa"/>
              <w:bottom w:w="90" w:type="dxa"/>
              <w:left w:w="130" w:type="dxa"/>
              <w:right w:w="130" w:type="dxa"/>
            </w:tcMar>
          </w:tcPr>
          <w:p>
            <w:pPr>
              <w:spacing w:before="30" w:after="30"/>
              <w:jc w:val="right"/>
            </w:pPr>
            <w:r>
              <w:rPr>
                <w:rFonts w:ascii="Calibri" w:hAnsi="Calibri"/>
                <w:color w:val="1E293B"/>
                <w:sz w:val="18"/>
              </w:rPr>
              <w:t>₹1,000,800.85 (Locked Capital)</w:t>
            </w:r>
          </w:p>
        </w:tc>
        <w:tc>
          <w:tcPr>
            <w:tcW w:type="dxa" w:w="2736"/>
            <w:shd w:fill="F8FAFC"/>
            <w:tcMar>
              <w:top w:w="90" w:type="dxa"/>
              <w:bottom w:w="90" w:type="dxa"/>
              <w:left w:w="130" w:type="dxa"/>
              <w:right w:w="130" w:type="dxa"/>
            </w:tcMar>
          </w:tcPr>
          <w:p>
            <w:pPr>
              <w:spacing w:before="30" w:after="30"/>
              <w:jc w:val="left"/>
            </w:pPr>
            <w:r>
              <w:rPr>
                <w:rFonts w:ascii="Calibri" w:hAnsi="Calibri"/>
                <w:color w:val="1E293B"/>
                <w:sz w:val="18"/>
              </w:rPr>
              <w:t>Launch promotional clearance discounts to free cash.</w:t>
            </w:r>
          </w:p>
        </w:tc>
      </w:tr>
      <w:tr>
        <w:tc>
          <w:tcPr>
            <w:tcW w:type="dxa" w:w="2016"/>
            <w:shd w:fill="FFFFFF"/>
            <w:tcMar>
              <w:top w:w="90" w:type="dxa"/>
              <w:bottom w:w="90" w:type="dxa"/>
              <w:left w:w="130" w:type="dxa"/>
              <w:right w:w="130" w:type="dxa"/>
            </w:tcMar>
          </w:tcPr>
          <w:p>
            <w:pPr>
              <w:spacing w:before="30" w:after="30"/>
              <w:jc w:val="left"/>
            </w:pPr>
            <w:r>
              <w:rPr>
                <w:rFonts w:ascii="Calibri" w:hAnsi="Calibri"/>
                <w:color w:val="1E293B"/>
                <w:sz w:val="18"/>
              </w:rPr>
              <w:t>Healthy</w:t>
            </w:r>
          </w:p>
        </w:tc>
        <w:tc>
          <w:tcPr>
            <w:tcW w:type="dxa" w:w="1152"/>
            <w:shd w:fill="FFFFFF"/>
            <w:tcMar>
              <w:top w:w="90" w:type="dxa"/>
              <w:bottom w:w="90" w:type="dxa"/>
              <w:left w:w="130" w:type="dxa"/>
              <w:right w:w="130" w:type="dxa"/>
            </w:tcMar>
          </w:tcPr>
          <w:p>
            <w:pPr>
              <w:spacing w:before="30" w:after="30"/>
              <w:jc w:val="center"/>
            </w:pPr>
            <w:r>
              <w:rPr>
                <w:rFonts w:ascii="Calibri" w:hAnsi="Calibri"/>
                <w:color w:val="1E293B"/>
                <w:sz w:val="18"/>
              </w:rPr>
              <w:t>154 SKUs</w:t>
            </w:r>
          </w:p>
        </w:tc>
        <w:tc>
          <w:tcPr>
            <w:tcW w:type="dxa" w:w="1296"/>
            <w:shd w:fill="FFFFFF"/>
            <w:tcMar>
              <w:top w:w="90" w:type="dxa"/>
              <w:bottom w:w="90" w:type="dxa"/>
              <w:left w:w="130" w:type="dxa"/>
              <w:right w:w="130" w:type="dxa"/>
            </w:tcMar>
          </w:tcPr>
          <w:p>
            <w:pPr>
              <w:spacing w:before="30" w:after="30"/>
              <w:jc w:val="center"/>
            </w:pPr>
            <w:r>
              <w:rPr>
                <w:rFonts w:ascii="Calibri" w:hAnsi="Calibri"/>
                <w:color w:val="1E293B"/>
                <w:sz w:val="18"/>
              </w:rPr>
              <w:t>77.0%</w:t>
            </w:r>
          </w:p>
        </w:tc>
        <w:tc>
          <w:tcPr>
            <w:tcW w:type="dxa" w:w="2592"/>
            <w:shd w:fill="FFFFFF"/>
            <w:tcMar>
              <w:top w:w="90" w:type="dxa"/>
              <w:bottom w:w="90" w:type="dxa"/>
              <w:left w:w="130" w:type="dxa"/>
              <w:right w:w="130" w:type="dxa"/>
            </w:tcMar>
          </w:tcPr>
          <w:p>
            <w:pPr>
              <w:spacing w:before="30" w:after="30"/>
              <w:jc w:val="right"/>
            </w:pPr>
            <w:r>
              <w:rPr>
                <w:rFonts w:ascii="Calibri" w:hAnsi="Calibri"/>
                <w:color w:val="1E293B"/>
                <w:sz w:val="18"/>
              </w:rPr>
              <w:t>₹0.00 (Optimal Balance)</w:t>
            </w:r>
          </w:p>
        </w:tc>
        <w:tc>
          <w:tcPr>
            <w:tcW w:type="dxa" w:w="2736"/>
            <w:shd w:fill="FFFFFF"/>
            <w:tcMar>
              <w:top w:w="90" w:type="dxa"/>
              <w:bottom w:w="90" w:type="dxa"/>
              <w:left w:w="130" w:type="dxa"/>
              <w:right w:w="130" w:type="dxa"/>
            </w:tcMar>
          </w:tcPr>
          <w:p>
            <w:pPr>
              <w:spacing w:before="30" w:after="30"/>
              <w:jc w:val="left"/>
            </w:pPr>
            <w:r>
              <w:rPr>
                <w:rFonts w:ascii="Calibri" w:hAnsi="Calibri"/>
                <w:color w:val="1E293B"/>
                <w:sz w:val="18"/>
              </w:rPr>
              <w:t>Inventory matches velocity; maintain standard cadence.</w:t>
            </w:r>
          </w:p>
        </w:tc>
      </w:tr>
      <w:tr>
        <w:tc>
          <w:tcPr>
            <w:tcW w:type="dxa" w:w="2016"/>
            <w:shd w:fill="F8FAFC"/>
            <w:tcMar>
              <w:top w:w="90" w:type="dxa"/>
              <w:bottom w:w="90" w:type="dxa"/>
              <w:left w:w="130" w:type="dxa"/>
              <w:right w:w="130" w:type="dxa"/>
            </w:tcMar>
          </w:tcPr>
          <w:p>
            <w:pPr>
              <w:spacing w:before="30" w:after="30"/>
              <w:jc w:val="left"/>
            </w:pPr>
            <w:r>
              <w:rPr>
                <w:rFonts w:ascii="Calibri" w:hAnsi="Calibri"/>
                <w:color w:val="1E293B"/>
                <w:sz w:val="18"/>
              </w:rPr>
              <w:t>Watch / Volatile</w:t>
            </w:r>
          </w:p>
        </w:tc>
        <w:tc>
          <w:tcPr>
            <w:tcW w:type="dxa" w:w="1152"/>
            <w:shd w:fill="F8FAFC"/>
            <w:tcMar>
              <w:top w:w="90" w:type="dxa"/>
              <w:bottom w:w="90" w:type="dxa"/>
              <w:left w:w="130" w:type="dxa"/>
              <w:right w:w="130" w:type="dxa"/>
            </w:tcMar>
          </w:tcPr>
          <w:p>
            <w:pPr>
              <w:spacing w:before="30" w:after="30"/>
              <w:jc w:val="center"/>
            </w:pPr>
            <w:r>
              <w:rPr>
                <w:rFonts w:ascii="Calibri" w:hAnsi="Calibri"/>
                <w:color w:val="1E293B"/>
                <w:sz w:val="18"/>
              </w:rPr>
              <w:t>0 SKUs</w:t>
            </w:r>
          </w:p>
        </w:tc>
        <w:tc>
          <w:tcPr>
            <w:tcW w:type="dxa" w:w="1296"/>
            <w:shd w:fill="F8FAFC"/>
            <w:tcMar>
              <w:top w:w="90" w:type="dxa"/>
              <w:bottom w:w="90" w:type="dxa"/>
              <w:left w:w="130" w:type="dxa"/>
              <w:right w:w="130" w:type="dxa"/>
            </w:tcMar>
          </w:tcPr>
          <w:p>
            <w:pPr>
              <w:spacing w:before="30" w:after="30"/>
              <w:jc w:val="center"/>
            </w:pPr>
            <w:r>
              <w:rPr>
                <w:rFonts w:ascii="Calibri" w:hAnsi="Calibri"/>
                <w:color w:val="1E293B"/>
                <w:sz w:val="18"/>
              </w:rPr>
              <w:t>0.0%</w:t>
            </w:r>
          </w:p>
        </w:tc>
        <w:tc>
          <w:tcPr>
            <w:tcW w:type="dxa" w:w="2592"/>
            <w:shd w:fill="F8FAFC"/>
            <w:tcMar>
              <w:top w:w="90" w:type="dxa"/>
              <w:bottom w:w="90" w:type="dxa"/>
              <w:left w:w="130" w:type="dxa"/>
              <w:right w:w="130" w:type="dxa"/>
            </w:tcMar>
          </w:tcPr>
          <w:p>
            <w:pPr>
              <w:spacing w:before="30" w:after="30"/>
              <w:jc w:val="right"/>
            </w:pPr>
            <w:r>
              <w:rPr>
                <w:rFonts w:ascii="Calibri" w:hAnsi="Calibri"/>
                <w:color w:val="1E293B"/>
                <w:sz w:val="18"/>
              </w:rPr>
              <w:t>₹0.00</w:t>
            </w:r>
          </w:p>
        </w:tc>
        <w:tc>
          <w:tcPr>
            <w:tcW w:type="dxa" w:w="2736"/>
            <w:shd w:fill="F8FAFC"/>
            <w:tcMar>
              <w:top w:w="90" w:type="dxa"/>
              <w:bottom w:w="90" w:type="dxa"/>
              <w:left w:w="130" w:type="dxa"/>
              <w:right w:w="130" w:type="dxa"/>
            </w:tcMar>
          </w:tcPr>
          <w:p>
            <w:pPr>
              <w:spacing w:before="30" w:after="30"/>
              <w:jc w:val="left"/>
            </w:pPr>
            <w:r>
              <w:rPr>
                <w:rFonts w:ascii="Calibri" w:hAnsi="Calibri"/>
                <w:color w:val="1E293B"/>
                <w:sz w:val="18"/>
              </w:rPr>
              <w:t>Stable velocity; no erratic outlier behavior detected.</w:t>
            </w:r>
          </w:p>
        </w:tc>
      </w:tr>
      <w:tr>
        <w:tc>
          <w:tcPr>
            <w:tcW w:type="dxa" w:w="2016"/>
            <w:shd w:fill="FFFFFF"/>
            <w:tcMar>
              <w:top w:w="90" w:type="dxa"/>
              <w:bottom w:w="90" w:type="dxa"/>
              <w:left w:w="130" w:type="dxa"/>
              <w:right w:w="130" w:type="dxa"/>
            </w:tcMar>
          </w:tcPr>
          <w:p>
            <w:pPr>
              <w:spacing w:before="30" w:after="30"/>
              <w:jc w:val="left"/>
            </w:pPr>
            <w:r>
              <w:rPr>
                <w:rFonts w:ascii="Calibri" w:hAnsi="Calibri"/>
                <w:color w:val="1E293B"/>
                <w:sz w:val="18"/>
              </w:rPr>
              <w:t>Total</w:t>
            </w:r>
          </w:p>
        </w:tc>
        <w:tc>
          <w:tcPr>
            <w:tcW w:type="dxa" w:w="1152"/>
            <w:shd w:fill="FFFFFF"/>
            <w:tcMar>
              <w:top w:w="90" w:type="dxa"/>
              <w:bottom w:w="90" w:type="dxa"/>
              <w:left w:w="130" w:type="dxa"/>
              <w:right w:w="130" w:type="dxa"/>
            </w:tcMar>
          </w:tcPr>
          <w:p>
            <w:pPr>
              <w:spacing w:before="30" w:after="30"/>
              <w:jc w:val="center"/>
            </w:pPr>
            <w:r>
              <w:rPr>
                <w:rFonts w:ascii="Calibri" w:hAnsi="Calibri"/>
                <w:color w:val="1E293B"/>
                <w:sz w:val="18"/>
              </w:rPr>
              <w:t>200 SKUs</w:t>
            </w:r>
          </w:p>
        </w:tc>
        <w:tc>
          <w:tcPr>
            <w:tcW w:type="dxa" w:w="1296"/>
            <w:shd w:fill="FFFFFF"/>
            <w:tcMar>
              <w:top w:w="90" w:type="dxa"/>
              <w:bottom w:w="90" w:type="dxa"/>
              <w:left w:w="130" w:type="dxa"/>
              <w:right w:w="130" w:type="dxa"/>
            </w:tcMar>
          </w:tcPr>
          <w:p>
            <w:pPr>
              <w:spacing w:before="30" w:after="30"/>
              <w:jc w:val="center"/>
            </w:pPr>
            <w:r>
              <w:rPr>
                <w:rFonts w:ascii="Calibri" w:hAnsi="Calibri"/>
                <w:color w:val="1E293B"/>
                <w:sz w:val="18"/>
              </w:rPr>
              <w:t>100.0%</w:t>
            </w:r>
          </w:p>
        </w:tc>
        <w:tc>
          <w:tcPr>
            <w:tcW w:type="dxa" w:w="2592"/>
            <w:shd w:fill="FFFFFF"/>
            <w:tcMar>
              <w:top w:w="90" w:type="dxa"/>
              <w:bottom w:w="90" w:type="dxa"/>
              <w:left w:w="130" w:type="dxa"/>
              <w:right w:w="130" w:type="dxa"/>
            </w:tcMar>
          </w:tcPr>
          <w:p>
            <w:pPr>
              <w:spacing w:before="30" w:after="30"/>
              <w:jc w:val="right"/>
            </w:pPr>
            <w:r>
              <w:rPr>
                <w:rFonts w:ascii="Calibri" w:hAnsi="Calibri"/>
                <w:color w:val="1E293B"/>
                <w:sz w:val="18"/>
              </w:rPr>
              <w:t>₹1,002,813.06 At Stake</w:t>
            </w:r>
          </w:p>
        </w:tc>
        <w:tc>
          <w:tcPr>
            <w:tcW w:type="dxa" w:w="2736"/>
            <w:shd w:fill="FFFFFF"/>
            <w:tcMar>
              <w:top w:w="90" w:type="dxa"/>
              <w:bottom w:w="90" w:type="dxa"/>
              <w:left w:w="130" w:type="dxa"/>
              <w:right w:w="130" w:type="dxa"/>
            </w:tcMar>
          </w:tcPr>
          <w:p>
            <w:pPr>
              <w:spacing w:before="30" w:after="30"/>
              <w:jc w:val="left"/>
            </w:pPr>
            <w:r>
              <w:rPr>
                <w:rFonts w:ascii="Calibri" w:hAnsi="Calibri"/>
                <w:color w:val="1E293B"/>
                <w:sz w:val="18"/>
              </w:rPr>
              <w:t>Combined operational financial optimization opportunity.</w:t>
            </w:r>
          </w:p>
        </w:tc>
      </w:tr>
    </w:tbl>
    <w:p>
      <w:pPr>
        <w:pStyle w:val="Heading1"/>
        <w:keepNext/>
        <w:spacing w:before="280" w:after="120"/>
      </w:pPr>
      <w:r>
        <w:rPr>
          <w:rFonts w:ascii="Calibri" w:hAnsi="Calibri"/>
          <w:b/>
          <w:color w:val="0F172A"/>
          <w:sz w:val="30"/>
        </w:rPr>
        <w:t>7. Technical Challenges &amp; Engineering Solutions</w:t>
      </w:r>
    </w:p>
    <w:p>
      <w:pPr>
        <w:pStyle w:val="ListBullet"/>
        <w:spacing w:after="80" w:line="276" w:lineRule="auto"/>
      </w:pPr>
      <w:r>
        <w:rPr>
          <w:rFonts w:ascii="Calibri" w:hAnsi="Calibri"/>
          <w:b/>
          <w:color w:val="0F172A"/>
        </w:rPr>
        <w:t xml:space="preserve">1. Temporal Data Leakage in Time-Series Features: </w:t>
      </w:r>
      <w:r>
        <w:rPr>
          <w:rFonts w:ascii="Calibri" w:hAnsi="Calibri"/>
          <w:color w:val="334155"/>
        </w:rPr>
        <w:t>Standard train/test splits or naive rolling means inadvertently allow future data to touch features, producing falsely optimistic evaluations. Solution: Strictly shifted all lag terms (t-1w, t-2w, etc.) and rolling windows by 1 period, and implemented Rolling-Origin Cross-Validation mimicking real-world weekly forecasting.</w:t>
      </w:r>
    </w:p>
    <w:p>
      <w:pPr>
        <w:pStyle w:val="ListBullet"/>
        <w:spacing w:after="80" w:line="276" w:lineRule="auto"/>
      </w:pPr>
      <w:r>
        <w:rPr>
          <w:rFonts w:ascii="Calibri" w:hAnsi="Calibri"/>
          <w:b/>
          <w:color w:val="0F172A"/>
        </w:rPr>
        <w:t xml:space="preserve">2. High-Entropy Unstructured Text in Catalog Master: </w:t>
      </w:r>
      <w:r>
        <w:rPr>
          <w:rFonts w:ascii="Calibri" w:hAnsi="Calibri"/>
          <w:color w:val="334155"/>
        </w:rPr>
        <w:t>Raw transaction records contained dirty, unstandardized product descriptions with no department categories. Solution: Engineered an automated NLP keyword parser that mapped text into 5 standard retail categories (Kitchen &amp; Dining, Home Decor, Storage, Seasonal, Furnishings).</w:t>
      </w:r>
    </w:p>
    <w:p>
      <w:pPr>
        <w:pStyle w:val="ListBullet"/>
        <w:spacing w:after="80" w:line="276" w:lineRule="auto"/>
      </w:pPr>
      <w:r>
        <w:rPr>
          <w:rFonts w:ascii="Calibri" w:hAnsi="Calibri"/>
          <w:b/>
          <w:color w:val="0F172A"/>
        </w:rPr>
        <w:t xml:space="preserve">3. The 'Black-Box' Trust Problem in Inventory Operations: </w:t>
      </w:r>
      <w:r>
        <w:rPr>
          <w:rFonts w:ascii="Calibri" w:hAnsi="Calibri"/>
          <w:color w:val="334155"/>
        </w:rPr>
        <w:t>Warehouse managers and finance directors reject purely algorithmic purchase order commands if they cannot understand the underlying logic. Solution: Decoupled ML demand prediction from deterministic inventory mechanics. The 2x2 matrix relies on transparent lead-time math and exact rupee calculations.</w:t>
      </w:r>
    </w:p>
    <w:p>
      <w:pPr>
        <w:pStyle w:val="ListBullet"/>
        <w:spacing w:after="80" w:line="276" w:lineRule="auto"/>
      </w:pPr>
      <w:r>
        <w:rPr>
          <w:rFonts w:ascii="Calibri" w:hAnsi="Calibri"/>
          <w:b/>
          <w:color w:val="0F172A"/>
        </w:rPr>
        <w:t xml:space="preserve">4. Streamlit Cloud Runtime &amp; Dependency Deprecations: </w:t>
      </w:r>
      <w:r>
        <w:rPr>
          <w:rFonts w:ascii="Calibri" w:hAnsi="Calibri"/>
          <w:color w:val="334155"/>
        </w:rPr>
        <w:t>Encountered Pandas resampling deprecation errors (resample('M')) and missing XGBoost dependencies during cloud deployment. Solution: Refactored monthly aggregation to universal dt.to_period('M') period groupings and implemented safe try/except fallback wrappers in src/forecast.py.</w:t>
      </w:r>
    </w:p>
    <w:p>
      <w:pPr>
        <w:pStyle w:val="Heading1"/>
        <w:keepNext/>
        <w:spacing w:before="280" w:after="120"/>
      </w:pPr>
      <w:r>
        <w:rPr>
          <w:rFonts w:ascii="Calibri" w:hAnsi="Calibri"/>
          <w:b/>
          <w:color w:val="0F172A"/>
          <w:sz w:val="30"/>
        </w:rPr>
        <w:t>8. Skills Acquired &amp; Professional Competencies</w:t>
      </w:r>
    </w:p>
    <w:p>
      <w:pPr>
        <w:pStyle w:val="ListBullet"/>
        <w:spacing w:after="60" w:line="276" w:lineRule="auto"/>
      </w:pPr>
      <w:r>
        <w:rPr>
          <w:rFonts w:ascii="Calibri" w:hAnsi="Calibri"/>
          <w:color w:val="334155"/>
          <w:sz w:val="19"/>
        </w:rPr>
        <w:t>Production Data Engineering: Designing reproducible star schemas, automated data cleaning, and feature pipelines.</w:t>
      </w:r>
    </w:p>
    <w:p>
      <w:pPr>
        <w:pStyle w:val="ListBullet"/>
        <w:spacing w:after="60" w:line="276" w:lineRule="auto"/>
      </w:pPr>
      <w:r>
        <w:rPr>
          <w:rFonts w:ascii="Calibri" w:hAnsi="Calibri"/>
          <w:color w:val="334155"/>
          <w:sz w:val="19"/>
        </w:rPr>
        <w:t>Advanced Time-Series Machine Learning: Rolling-origin backtesting, feature engineering, LightGBM/XGBoost tuning, and WAPE/MAPE metrics.</w:t>
      </w:r>
    </w:p>
    <w:p>
      <w:pPr>
        <w:pStyle w:val="ListBullet"/>
        <w:spacing w:after="60" w:line="276" w:lineRule="auto"/>
      </w:pPr>
      <w:r>
        <w:rPr>
          <w:rFonts w:ascii="Calibri" w:hAnsi="Calibri"/>
          <w:color w:val="334155"/>
          <w:sz w:val="19"/>
        </w:rPr>
        <w:t>Supply Chain Analytics &amp; Decision Science: Lead time modeling, safety stock gap computation, and working capital risk quantification.</w:t>
      </w:r>
    </w:p>
    <w:p>
      <w:pPr>
        <w:pStyle w:val="ListBullet"/>
        <w:spacing w:after="60" w:line="276" w:lineRule="auto"/>
      </w:pPr>
      <w:r>
        <w:rPr>
          <w:rFonts w:ascii="Calibri" w:hAnsi="Calibri"/>
          <w:color w:val="334155"/>
          <w:sz w:val="19"/>
        </w:rPr>
        <w:t>Full-Stack Analytics Productization: 7-page interactive Streamlit dashboard development, Plotly graphics, and FastAPI REST APIs.</w:t>
      </w:r>
    </w:p>
    <w:p>
      <w:pPr>
        <w:pStyle w:val="ListBullet"/>
        <w:spacing w:after="60" w:line="276" w:lineRule="auto"/>
      </w:pPr>
      <w:r>
        <w:rPr>
          <w:rFonts w:ascii="Calibri" w:hAnsi="Calibri"/>
          <w:color w:val="334155"/>
          <w:sz w:val="19"/>
        </w:rPr>
        <w:t>Consulting &amp; Stakeholder Communication: Translating complex mathematical algorithms into rupee financial impacts and executive slide decks.</w:t>
      </w:r>
    </w:p>
    <w:p>
      <w:pPr>
        <w:pStyle w:val="Heading1"/>
        <w:keepNext/>
        <w:spacing w:before="280" w:after="120"/>
      </w:pPr>
      <w:r>
        <w:rPr>
          <w:rFonts w:ascii="Calibri" w:hAnsi="Calibri"/>
          <w:b/>
          <w:color w:val="0F172A"/>
          <w:sz w:val="30"/>
        </w:rPr>
        <w:t>9. Current Progress, Ongoing Work &amp; Strategic Next Steps</w:t>
      </w:r>
    </w:p>
    <w:p>
      <w:pPr>
        <w:spacing w:line="276" w:lineRule="auto" w:after="160"/>
      </w:pPr>
      <w:r>
        <w:t>As this is an ongoing industrial internship, all core technical milestones (M1 to M4) have been fully developed, validated, and deployed. Current and upcoming focus areas include:</w:t>
      </w:r>
    </w:p>
    <w:p>
      <w:pPr>
        <w:pStyle w:val="ListBullet"/>
        <w:spacing w:after="60" w:line="276" w:lineRule="auto"/>
      </w:pPr>
      <w:r>
        <w:rPr>
          <w:rFonts w:ascii="Calibri" w:hAnsi="Calibri"/>
          <w:b/>
          <w:color w:val="0F172A"/>
        </w:rPr>
        <w:t xml:space="preserve">Current Active Status: </w:t>
      </w:r>
      <w:r>
        <w:rPr>
          <w:rFonts w:ascii="Calibri" w:hAnsi="Calibri"/>
          <w:color w:val="334155"/>
        </w:rPr>
        <w:t>The 7-page Streamlit dashboard and FastAPI service are operational and actively serving predictions.</w:t>
      </w:r>
    </w:p>
    <w:p>
      <w:pPr>
        <w:pStyle w:val="ListBullet"/>
        <w:spacing w:after="60" w:line="276" w:lineRule="auto"/>
      </w:pPr>
      <w:r>
        <w:rPr>
          <w:rFonts w:ascii="Calibri" w:hAnsi="Calibri"/>
          <w:b/>
          <w:color w:val="0F172A"/>
        </w:rPr>
        <w:t xml:space="preserve">Lead Time Sensitivity Control: </w:t>
      </w:r>
      <w:r>
        <w:rPr>
          <w:rFonts w:ascii="Calibri" w:hAnsi="Calibri"/>
          <w:color w:val="334155"/>
        </w:rPr>
        <w:t>Implementing an interactive slider in the Streamlit UI allowing warehouse managers to simulate what-if supplier delays (+7 days, +14 days) and observe real-time risk quadrant shifts.</w:t>
      </w:r>
    </w:p>
    <w:p>
      <w:pPr>
        <w:pStyle w:val="ListBullet"/>
        <w:spacing w:after="60" w:line="276" w:lineRule="auto"/>
      </w:pPr>
      <w:r>
        <w:rPr>
          <w:rFonts w:ascii="Calibri" w:hAnsi="Calibri"/>
          <w:b/>
          <w:color w:val="0F172A"/>
        </w:rPr>
        <w:t xml:space="preserve">Automated Monthly Cron Pipeline: </w:t>
      </w:r>
      <w:r>
        <w:rPr>
          <w:rFonts w:ascii="Calibri" w:hAnsi="Calibri"/>
          <w:color w:val="334155"/>
        </w:rPr>
        <w:t>Scheduling monthly batch executions of src/pipeline.py and src/risk.py as fresh inventory snapshot CSVs arrive from the warehouse.</w:t>
      </w:r>
    </w:p>
    <w:p>
      <w:pPr>
        <w:pStyle w:val="ListBullet"/>
        <w:spacing w:after="60" w:line="276" w:lineRule="auto"/>
      </w:pPr>
      <w:r>
        <w:rPr>
          <w:rFonts w:ascii="Calibri" w:hAnsi="Calibri"/>
          <w:b/>
          <w:color w:val="0F172A"/>
        </w:rPr>
        <w:t xml:space="preserve">Clearance Promotion Campaign: </w:t>
      </w:r>
      <w:r>
        <w:rPr>
          <w:rFonts w:ascii="Calibri" w:hAnsi="Calibri"/>
          <w:color w:val="334155"/>
        </w:rPr>
        <w:t>Assisting NorthBay Living's merchandising lead in rolling out promotional discounts on the top 45 clearance candidate SKUs to liquidate the ₹1,000,800.85 in trapped working capital.</w:t>
      </w:r>
    </w:p>
    <w:p>
      <w:pPr>
        <w:pStyle w:val="Heading1"/>
        <w:keepNext/>
        <w:spacing w:before="280" w:after="120"/>
      </w:pPr>
      <w:r>
        <w:rPr>
          <w:rFonts w:ascii="Calibri" w:hAnsi="Calibri"/>
          <w:b/>
          <w:color w:val="0F172A"/>
          <w:sz w:val="30"/>
        </w:rPr>
        <w:t>10. Project Verification Record &amp; Submission Artifacts</w:t>
      </w:r>
    </w:p>
    <w:p>
      <w:pPr>
        <w:spacing w:line="276" w:lineRule="auto" w:after="160"/>
      </w:pPr>
      <w:r>
        <w:t>The academic faculty, mentor review board, and stakeholders can independently audit and inspect all project deliverables at the official repository and hosted interfaces below:</w:t>
      </w:r>
    </w:p>
    <w:tbl>
      <w:tblPr>
        <w:tblW w:type="auto" w:w="0"/>
        <w:jc w:val="center"/>
        <w:tblLayout w:type="fixed"/>
        <w:tblLook w:firstColumn="1" w:firstRow="1" w:lastColumn="0" w:lastRow="0" w:noHBand="0" w:noVBand="1" w:val="04A0"/>
      </w:tblPr>
      <w:tblGrid>
        <w:gridCol w:w="3264"/>
        <w:gridCol w:w="3264"/>
        <w:gridCol w:w="3264"/>
      </w:tblGrid>
      <w:tr>
        <w:tc>
          <w:tcPr>
            <w:tcW w:type="dxa" w:w="2304"/>
            <w:shd w:fill="1E293B"/>
            <w:tcMar>
              <w:top w:w="120" w:type="dxa"/>
              <w:bottom w:w="120" w:type="dxa"/>
              <w:left w:w="140" w:type="dxa"/>
              <w:right w:w="140" w:type="dxa"/>
            </w:tcMar>
          </w:tcPr>
          <w:p>
            <w:pPr>
              <w:spacing w:before="40" w:after="40"/>
              <w:jc w:val="left"/>
            </w:pPr>
            <w:r>
              <w:rPr>
                <w:rFonts w:ascii="Calibri" w:hAnsi="Calibri"/>
                <w:b/>
                <w:color w:val="FFFFFF"/>
                <w:sz w:val="19"/>
              </w:rPr>
              <w:t>Item / Deliverable</w:t>
            </w:r>
          </w:p>
        </w:tc>
        <w:tc>
          <w:tcPr>
            <w:tcW w:type="dxa" w:w="3888"/>
            <w:shd w:fill="1E293B"/>
            <w:tcMar>
              <w:top w:w="120" w:type="dxa"/>
              <w:bottom w:w="120" w:type="dxa"/>
              <w:left w:w="140" w:type="dxa"/>
              <w:right w:w="140" w:type="dxa"/>
            </w:tcMar>
          </w:tcPr>
          <w:p>
            <w:pPr>
              <w:spacing w:before="40" w:after="40"/>
              <w:jc w:val="left"/>
            </w:pPr>
            <w:r>
              <w:rPr>
                <w:rFonts w:ascii="Calibri" w:hAnsi="Calibri"/>
                <w:b/>
                <w:color w:val="FFFFFF"/>
                <w:sz w:val="19"/>
              </w:rPr>
              <w:t>Location / Link</w:t>
            </w:r>
          </w:p>
        </w:tc>
        <w:tc>
          <w:tcPr>
            <w:tcW w:type="dxa" w:w="3600"/>
            <w:shd w:fill="1E293B"/>
            <w:tcMar>
              <w:top w:w="120" w:type="dxa"/>
              <w:bottom w:w="120" w:type="dxa"/>
              <w:left w:w="140" w:type="dxa"/>
              <w:right w:w="140" w:type="dxa"/>
            </w:tcMar>
          </w:tcPr>
          <w:p>
            <w:pPr>
              <w:spacing w:before="40" w:after="40"/>
              <w:jc w:val="left"/>
            </w:pPr>
            <w:r>
              <w:rPr>
                <w:rFonts w:ascii="Calibri" w:hAnsi="Calibri"/>
                <w:b/>
                <w:color w:val="FFFFFF"/>
                <w:sz w:val="19"/>
              </w:rPr>
              <w:t>Description</w:t>
            </w:r>
          </w:p>
        </w:tc>
      </w:tr>
      <w:tr>
        <w:tc>
          <w:tcPr>
            <w:tcW w:type="dxa" w:w="2304"/>
            <w:shd w:fill="FFFFFF"/>
            <w:tcMar>
              <w:top w:w="90" w:type="dxa"/>
              <w:bottom w:w="90" w:type="dxa"/>
              <w:left w:w="130" w:type="dxa"/>
              <w:right w:w="130" w:type="dxa"/>
            </w:tcMar>
          </w:tcPr>
          <w:p>
            <w:pPr>
              <w:spacing w:before="30" w:after="30"/>
              <w:jc w:val="left"/>
            </w:pPr>
            <w:r>
              <w:rPr>
                <w:rFonts w:ascii="Calibri" w:hAnsi="Calibri"/>
                <w:color w:val="1E293B"/>
                <w:sz w:val="18"/>
              </w:rPr>
              <w:t>Public Git Repository</w:t>
            </w:r>
          </w:p>
        </w:tc>
        <w:tc>
          <w:tcPr>
            <w:tcW w:type="dxa" w:w="3888"/>
            <w:shd w:fill="FFFFFF"/>
            <w:tcMar>
              <w:top w:w="90" w:type="dxa"/>
              <w:bottom w:w="90" w:type="dxa"/>
              <w:left w:w="130" w:type="dxa"/>
              <w:right w:w="130" w:type="dxa"/>
            </w:tcMar>
          </w:tcPr>
          <w:p>
            <w:pPr>
              <w:spacing w:before="30" w:after="30"/>
              <w:jc w:val="left"/>
            </w:pPr>
            <w:r>
              <w:rPr>
                <w:rFonts w:ascii="Calibri" w:hAnsi="Calibri"/>
                <w:color w:val="1E293B"/>
                <w:sz w:val="18"/>
              </w:rPr>
              <w:t>https://github.com/codexboy0417/demand-inventory-intelligence</w:t>
            </w:r>
          </w:p>
        </w:tc>
        <w:tc>
          <w:tcPr>
            <w:tcW w:type="dxa" w:w="3600"/>
            <w:shd w:fill="FFFFFF"/>
            <w:tcMar>
              <w:top w:w="90" w:type="dxa"/>
              <w:bottom w:w="90" w:type="dxa"/>
              <w:left w:w="130" w:type="dxa"/>
              <w:right w:w="130" w:type="dxa"/>
            </w:tcMar>
          </w:tcPr>
          <w:p>
            <w:pPr>
              <w:spacing w:before="30" w:after="30"/>
              <w:jc w:val="left"/>
            </w:pPr>
            <w:r>
              <w:rPr>
                <w:rFonts w:ascii="Calibri" w:hAnsi="Calibri"/>
                <w:color w:val="1E293B"/>
                <w:sz w:val="18"/>
              </w:rPr>
              <w:t>Complete production source code, notebooks, and reports.</w:t>
            </w:r>
          </w:p>
        </w:tc>
      </w:tr>
      <w:tr>
        <w:tc>
          <w:tcPr>
            <w:tcW w:type="dxa" w:w="2304"/>
            <w:shd w:fill="F8FAFC"/>
            <w:tcMar>
              <w:top w:w="90" w:type="dxa"/>
              <w:bottom w:w="90" w:type="dxa"/>
              <w:left w:w="130" w:type="dxa"/>
              <w:right w:w="130" w:type="dxa"/>
            </w:tcMar>
          </w:tcPr>
          <w:p>
            <w:pPr>
              <w:spacing w:before="30" w:after="30"/>
              <w:jc w:val="left"/>
            </w:pPr>
            <w:r>
              <w:rPr>
                <w:rFonts w:ascii="Calibri" w:hAnsi="Calibri"/>
                <w:color w:val="1E293B"/>
                <w:sz w:val="18"/>
              </w:rPr>
              <w:t>Interactive Dashboard</w:t>
            </w:r>
          </w:p>
        </w:tc>
        <w:tc>
          <w:tcPr>
            <w:tcW w:type="dxa" w:w="3888"/>
            <w:shd w:fill="F8FAFC"/>
            <w:tcMar>
              <w:top w:w="90" w:type="dxa"/>
              <w:bottom w:w="90" w:type="dxa"/>
              <w:left w:w="130" w:type="dxa"/>
              <w:right w:w="130" w:type="dxa"/>
            </w:tcMar>
          </w:tcPr>
          <w:p>
            <w:pPr>
              <w:spacing w:before="30" w:after="30"/>
              <w:jc w:val="left"/>
            </w:pPr>
            <w:r>
              <w:rPr>
                <w:rFonts w:ascii="Calibri" w:hAnsi="Calibri"/>
                <w:color w:val="1E293B"/>
                <w:sz w:val="18"/>
              </w:rPr>
              <w:t>app/main.py (Streamlit Community Cloud)</w:t>
            </w:r>
          </w:p>
        </w:tc>
        <w:tc>
          <w:tcPr>
            <w:tcW w:type="dxa" w:w="3600"/>
            <w:shd w:fill="F8FAFC"/>
            <w:tcMar>
              <w:top w:w="90" w:type="dxa"/>
              <w:bottom w:w="90" w:type="dxa"/>
              <w:left w:w="130" w:type="dxa"/>
              <w:right w:w="130" w:type="dxa"/>
            </w:tcMar>
          </w:tcPr>
          <w:p>
            <w:pPr>
              <w:spacing w:before="30" w:after="30"/>
              <w:jc w:val="left"/>
            </w:pPr>
            <w:r>
              <w:rPr>
                <w:rFonts w:ascii="Calibri" w:hAnsi="Calibri"/>
                <w:color w:val="1E293B"/>
                <w:sz w:val="18"/>
              </w:rPr>
              <w:t>7-Page interactive UI with filters, charts, and action tables.</w:t>
            </w:r>
          </w:p>
        </w:tc>
      </w:tr>
      <w:tr>
        <w:tc>
          <w:tcPr>
            <w:tcW w:type="dxa" w:w="2304"/>
            <w:shd w:fill="FFFFFF"/>
            <w:tcMar>
              <w:top w:w="90" w:type="dxa"/>
              <w:bottom w:w="90" w:type="dxa"/>
              <w:left w:w="130" w:type="dxa"/>
              <w:right w:w="130" w:type="dxa"/>
            </w:tcMar>
          </w:tcPr>
          <w:p>
            <w:pPr>
              <w:spacing w:before="30" w:after="30"/>
              <w:jc w:val="left"/>
            </w:pPr>
            <w:r>
              <w:rPr>
                <w:rFonts w:ascii="Calibri" w:hAnsi="Calibri"/>
                <w:color w:val="1E293B"/>
                <w:sz w:val="18"/>
              </w:rPr>
              <w:t>Scoring REST Service</w:t>
            </w:r>
          </w:p>
        </w:tc>
        <w:tc>
          <w:tcPr>
            <w:tcW w:type="dxa" w:w="3888"/>
            <w:shd w:fill="FFFFFF"/>
            <w:tcMar>
              <w:top w:w="90" w:type="dxa"/>
              <w:bottom w:w="90" w:type="dxa"/>
              <w:left w:w="130" w:type="dxa"/>
              <w:right w:w="130" w:type="dxa"/>
            </w:tcMar>
          </w:tcPr>
          <w:p>
            <w:pPr>
              <w:spacing w:before="30" w:after="30"/>
              <w:jc w:val="left"/>
            </w:pPr>
            <w:r>
              <w:rPr>
                <w:rFonts w:ascii="Calibri" w:hAnsi="Calibri"/>
                <w:color w:val="1E293B"/>
                <w:sz w:val="18"/>
              </w:rPr>
              <w:t>service/api.py (FastAPI / Swagger UI)</w:t>
            </w:r>
          </w:p>
        </w:tc>
        <w:tc>
          <w:tcPr>
            <w:tcW w:type="dxa" w:w="3600"/>
            <w:shd w:fill="FFFFFF"/>
            <w:tcMar>
              <w:top w:w="90" w:type="dxa"/>
              <w:bottom w:w="90" w:type="dxa"/>
              <w:left w:w="130" w:type="dxa"/>
              <w:right w:w="130" w:type="dxa"/>
            </w:tcMar>
          </w:tcPr>
          <w:p>
            <w:pPr>
              <w:spacing w:before="30" w:after="30"/>
              <w:jc w:val="left"/>
            </w:pPr>
            <w:r>
              <w:rPr>
                <w:rFonts w:ascii="Calibri" w:hAnsi="Calibri"/>
                <w:color w:val="1E293B"/>
                <w:sz w:val="18"/>
              </w:rPr>
              <w:t>Real-time single SKU and batch scoring endpoints.</w:t>
            </w:r>
          </w:p>
        </w:tc>
      </w:tr>
      <w:tr>
        <w:tc>
          <w:tcPr>
            <w:tcW w:type="dxa" w:w="2304"/>
            <w:shd w:fill="F8FAFC"/>
            <w:tcMar>
              <w:top w:w="90" w:type="dxa"/>
              <w:bottom w:w="90" w:type="dxa"/>
              <w:left w:w="130" w:type="dxa"/>
              <w:right w:w="130" w:type="dxa"/>
            </w:tcMar>
          </w:tcPr>
          <w:p>
            <w:pPr>
              <w:spacing w:before="30" w:after="30"/>
              <w:jc w:val="left"/>
            </w:pPr>
            <w:r>
              <w:rPr>
                <w:rFonts w:ascii="Calibri" w:hAnsi="Calibri"/>
                <w:color w:val="1E293B"/>
                <w:sz w:val="18"/>
              </w:rPr>
              <w:t>Single Jupyter Notebook</w:t>
            </w:r>
          </w:p>
        </w:tc>
        <w:tc>
          <w:tcPr>
            <w:tcW w:type="dxa" w:w="3888"/>
            <w:shd w:fill="F8FAFC"/>
            <w:tcMar>
              <w:top w:w="90" w:type="dxa"/>
              <w:bottom w:w="90" w:type="dxa"/>
              <w:left w:w="130" w:type="dxa"/>
              <w:right w:w="130" w:type="dxa"/>
            </w:tcMar>
          </w:tcPr>
          <w:p>
            <w:pPr>
              <w:spacing w:before="30" w:after="30"/>
              <w:jc w:val="left"/>
            </w:pPr>
            <w:r>
              <w:rPr>
                <w:rFonts w:ascii="Calibri" w:hAnsi="Calibri"/>
                <w:color w:val="1E293B"/>
                <w:sz w:val="18"/>
              </w:rPr>
              <w:t>notebooks/project_foresight_complete_ml_pipeline.ipynb</w:t>
            </w:r>
          </w:p>
        </w:tc>
        <w:tc>
          <w:tcPr>
            <w:tcW w:type="dxa" w:w="3600"/>
            <w:shd w:fill="F8FAFC"/>
            <w:tcMar>
              <w:top w:w="90" w:type="dxa"/>
              <w:bottom w:w="90" w:type="dxa"/>
              <w:left w:w="130" w:type="dxa"/>
              <w:right w:w="130" w:type="dxa"/>
            </w:tcMar>
          </w:tcPr>
          <w:p>
            <w:pPr>
              <w:spacing w:before="30" w:after="30"/>
              <w:jc w:val="left"/>
            </w:pPr>
            <w:r>
              <w:rPr>
                <w:rFonts w:ascii="Calibri" w:hAnsi="Calibri"/>
                <w:color w:val="1E293B"/>
                <w:sz w:val="18"/>
              </w:rPr>
              <w:t>Complete 15-cell end-to-end reproducible pipeline.</w:t>
            </w:r>
          </w:p>
        </w:tc>
      </w:tr>
      <w:tr>
        <w:tc>
          <w:tcPr>
            <w:tcW w:type="dxa" w:w="2304"/>
            <w:shd w:fill="FFFFFF"/>
            <w:tcMar>
              <w:top w:w="90" w:type="dxa"/>
              <w:bottom w:w="90" w:type="dxa"/>
              <w:left w:w="130" w:type="dxa"/>
              <w:right w:w="130" w:type="dxa"/>
            </w:tcMar>
          </w:tcPr>
          <w:p>
            <w:pPr>
              <w:spacing w:before="30" w:after="30"/>
              <w:jc w:val="left"/>
            </w:pPr>
            <w:r>
              <w:rPr>
                <w:rFonts w:ascii="Calibri" w:hAnsi="Calibri"/>
                <w:color w:val="1E293B"/>
                <w:sz w:val="18"/>
              </w:rPr>
              <w:t>Executive Presentation</w:t>
            </w:r>
          </w:p>
        </w:tc>
        <w:tc>
          <w:tcPr>
            <w:tcW w:type="dxa" w:w="3888"/>
            <w:shd w:fill="FFFFFF"/>
            <w:tcMar>
              <w:top w:w="90" w:type="dxa"/>
              <w:bottom w:w="90" w:type="dxa"/>
              <w:left w:w="130" w:type="dxa"/>
              <w:right w:w="130" w:type="dxa"/>
            </w:tcMar>
          </w:tcPr>
          <w:p>
            <w:pPr>
              <w:spacing w:before="30" w:after="30"/>
              <w:jc w:val="left"/>
            </w:pPr>
            <w:r>
              <w:rPr>
                <w:rFonts w:ascii="Calibri" w:hAnsi="Calibri"/>
                <w:color w:val="1E293B"/>
                <w:sz w:val="18"/>
              </w:rPr>
              <w:t>reports/executive_presentation.md</w:t>
            </w:r>
          </w:p>
        </w:tc>
        <w:tc>
          <w:tcPr>
            <w:tcW w:type="dxa" w:w="3600"/>
            <w:shd w:fill="FFFFFF"/>
            <w:tcMar>
              <w:top w:w="90" w:type="dxa"/>
              <w:bottom w:w="90" w:type="dxa"/>
              <w:left w:w="130" w:type="dxa"/>
              <w:right w:w="130" w:type="dxa"/>
            </w:tcMar>
          </w:tcPr>
          <w:p>
            <w:pPr>
              <w:spacing w:before="30" w:after="30"/>
              <w:jc w:val="left"/>
            </w:pPr>
            <w:r>
              <w:rPr>
                <w:rFonts w:ascii="Calibri" w:hAnsi="Calibri"/>
                <w:color w:val="1E293B"/>
                <w:sz w:val="18"/>
              </w:rPr>
              <w:t>10-slide executive readout deck for operations and finance.</w:t>
            </w:r>
          </w:p>
        </w:tc>
      </w:tr>
      <w:tr>
        <w:tc>
          <w:tcPr>
            <w:tcW w:type="dxa" w:w="2304"/>
            <w:shd w:fill="F8FAFC"/>
            <w:tcMar>
              <w:top w:w="90" w:type="dxa"/>
              <w:bottom w:w="90" w:type="dxa"/>
              <w:left w:w="130" w:type="dxa"/>
              <w:right w:w="130" w:type="dxa"/>
            </w:tcMar>
          </w:tcPr>
          <w:p>
            <w:pPr>
              <w:spacing w:before="30" w:after="30"/>
              <w:jc w:val="left"/>
            </w:pPr>
            <w:r>
              <w:rPr>
                <w:rFonts w:ascii="Calibri" w:hAnsi="Calibri"/>
                <w:color w:val="1E293B"/>
                <w:sz w:val="18"/>
              </w:rPr>
              <w:t>Data Quality &amp; EDA Memo</w:t>
            </w:r>
          </w:p>
        </w:tc>
        <w:tc>
          <w:tcPr>
            <w:tcW w:type="dxa" w:w="3888"/>
            <w:shd w:fill="F8FAFC"/>
            <w:tcMar>
              <w:top w:w="90" w:type="dxa"/>
              <w:bottom w:w="90" w:type="dxa"/>
              <w:left w:w="130" w:type="dxa"/>
              <w:right w:w="130" w:type="dxa"/>
            </w:tcMar>
          </w:tcPr>
          <w:p>
            <w:pPr>
              <w:spacing w:before="30" w:after="30"/>
              <w:jc w:val="left"/>
            </w:pPr>
            <w:r>
              <w:rPr>
                <w:rFonts w:ascii="Calibri" w:hAnsi="Calibri"/>
                <w:color w:val="1E293B"/>
                <w:sz w:val="18"/>
              </w:rPr>
              <w:t>reports/eda_insight_memo.md</w:t>
            </w:r>
          </w:p>
        </w:tc>
        <w:tc>
          <w:tcPr>
            <w:tcW w:type="dxa" w:w="3600"/>
            <w:shd w:fill="F8FAFC"/>
            <w:tcMar>
              <w:top w:w="90" w:type="dxa"/>
              <w:bottom w:w="90" w:type="dxa"/>
              <w:left w:w="130" w:type="dxa"/>
              <w:right w:w="130" w:type="dxa"/>
            </w:tcMar>
          </w:tcPr>
          <w:p>
            <w:pPr>
              <w:spacing w:before="30" w:after="30"/>
              <w:jc w:val="left"/>
            </w:pPr>
            <w:r>
              <w:rPr>
                <w:rFonts w:ascii="Calibri" w:hAnsi="Calibri"/>
                <w:color w:val="1E293B"/>
                <w:sz w:val="18"/>
              </w:rPr>
              <w:t>Detailed data quality findings, demand patterns, and Pareto rules.</w:t>
            </w:r>
          </w:p>
        </w:tc>
      </w:tr>
      <w:tr>
        <w:tc>
          <w:tcPr>
            <w:tcW w:type="dxa" w:w="2304"/>
            <w:shd w:fill="FFFFFF"/>
            <w:tcMar>
              <w:top w:w="90" w:type="dxa"/>
              <w:bottom w:w="90" w:type="dxa"/>
              <w:left w:w="130" w:type="dxa"/>
              <w:right w:w="130" w:type="dxa"/>
            </w:tcMar>
          </w:tcPr>
          <w:p>
            <w:pPr>
              <w:spacing w:before="30" w:after="30"/>
              <w:jc w:val="left"/>
            </w:pPr>
            <w:r>
              <w:rPr>
                <w:rFonts w:ascii="Calibri" w:hAnsi="Calibri"/>
                <w:color w:val="1E293B"/>
                <w:sz w:val="18"/>
              </w:rPr>
              <w:t>Decision Matrix Output</w:t>
            </w:r>
          </w:p>
        </w:tc>
        <w:tc>
          <w:tcPr>
            <w:tcW w:type="dxa" w:w="3888"/>
            <w:shd w:fill="FFFFFF"/>
            <w:tcMar>
              <w:top w:w="90" w:type="dxa"/>
              <w:bottom w:w="90" w:type="dxa"/>
              <w:left w:w="130" w:type="dxa"/>
              <w:right w:w="130" w:type="dxa"/>
            </w:tcMar>
          </w:tcPr>
          <w:p>
            <w:pPr>
              <w:spacing w:before="30" w:after="30"/>
              <w:jc w:val="left"/>
            </w:pPr>
            <w:r>
              <w:rPr>
                <w:rFonts w:ascii="Calibri" w:hAnsi="Calibri"/>
                <w:color w:val="1E293B"/>
                <w:sz w:val="18"/>
              </w:rPr>
              <w:t>reports/inventory_risk_decision_matrix.csv</w:t>
            </w:r>
          </w:p>
        </w:tc>
        <w:tc>
          <w:tcPr>
            <w:tcW w:type="dxa" w:w="3600"/>
            <w:shd w:fill="FFFFFF"/>
            <w:tcMar>
              <w:top w:w="90" w:type="dxa"/>
              <w:bottom w:w="90" w:type="dxa"/>
              <w:left w:w="130" w:type="dxa"/>
              <w:right w:w="130" w:type="dxa"/>
            </w:tcMar>
          </w:tcPr>
          <w:p>
            <w:pPr>
              <w:spacing w:before="30" w:after="30"/>
              <w:jc w:val="left"/>
            </w:pPr>
            <w:r>
              <w:rPr>
                <w:rFonts w:ascii="Calibri" w:hAnsi="Calibri"/>
                <w:color w:val="1E293B"/>
                <w:sz w:val="18"/>
              </w:rPr>
              <w:t>Full 200 SKU risk scoring results with rupee values.</w:t>
            </w:r>
          </w:p>
        </w:tc>
      </w:tr>
      <w:tr>
        <w:tc>
          <w:tcPr>
            <w:tcW w:type="dxa" w:w="2304"/>
            <w:shd w:fill="F8FAFC"/>
            <w:tcMar>
              <w:top w:w="90" w:type="dxa"/>
              <w:bottom w:w="90" w:type="dxa"/>
              <w:left w:w="130" w:type="dxa"/>
              <w:right w:w="130" w:type="dxa"/>
            </w:tcMar>
          </w:tcPr>
          <w:p>
            <w:pPr>
              <w:spacing w:before="30" w:after="30"/>
              <w:jc w:val="left"/>
            </w:pPr>
            <w:r>
              <w:rPr>
                <w:rFonts w:ascii="Calibri" w:hAnsi="Calibri"/>
                <w:color w:val="1E293B"/>
                <w:sz w:val="18"/>
              </w:rPr>
              <w:t>Terminal Execution Guide</w:t>
            </w:r>
          </w:p>
        </w:tc>
        <w:tc>
          <w:tcPr>
            <w:tcW w:type="dxa" w:w="3888"/>
            <w:shd w:fill="F8FAFC"/>
            <w:tcMar>
              <w:top w:w="90" w:type="dxa"/>
              <w:bottom w:w="90" w:type="dxa"/>
              <w:left w:w="130" w:type="dxa"/>
              <w:right w:w="130" w:type="dxa"/>
            </w:tcMar>
          </w:tcPr>
          <w:p>
            <w:pPr>
              <w:spacing w:before="30" w:after="30"/>
              <w:jc w:val="left"/>
            </w:pPr>
            <w:r>
              <w:rPr>
                <w:rFonts w:ascii="Calibri" w:hAnsi="Calibri"/>
                <w:color w:val="1E293B"/>
                <w:sz w:val="18"/>
              </w:rPr>
              <w:t>steps.txt</w:t>
            </w:r>
          </w:p>
        </w:tc>
        <w:tc>
          <w:tcPr>
            <w:tcW w:type="dxa" w:w="3600"/>
            <w:shd w:fill="F8FAFC"/>
            <w:tcMar>
              <w:top w:w="90" w:type="dxa"/>
              <w:bottom w:w="90" w:type="dxa"/>
              <w:left w:w="130" w:type="dxa"/>
              <w:right w:w="130" w:type="dxa"/>
            </w:tcMar>
          </w:tcPr>
          <w:p>
            <w:pPr>
              <w:spacing w:before="30" w:after="30"/>
              <w:jc w:val="left"/>
            </w:pPr>
            <w:r>
              <w:rPr>
                <w:rFonts w:ascii="Calibri" w:hAnsi="Calibri"/>
                <w:color w:val="1E293B"/>
                <w:sz w:val="18"/>
              </w:rPr>
              <w:t>Step-by-step reproduction commands from installation to launch.</w:t>
            </w:r>
          </w:p>
        </w:tc>
      </w:tr>
    </w:tbl>
    <w:p>
      <w:pPr>
        <w:spacing w:before="320" w:after="0"/>
        <w:jc w:val="center"/>
      </w:pPr>
      <w:r>
        <w:rPr>
          <w:rFonts w:ascii="Calibri" w:hAnsi="Calibri"/>
          <w:i/>
          <w:color w:val="94A3B8"/>
          <w:sz w:val="19"/>
        </w:rPr>
        <w:t>― End of Internship Working Report ―</w:t>
      </w:r>
    </w:p>
    <w:sectPr w:rsidR="00FC693F" w:rsidRPr="0006063C" w:rsidSect="00034616">
      <w:headerReference w:type="default" r:id="rId9"/>
      <w:footerReference w:type="default" r:id="rId10"/>
      <w:pgSz w:w="12240" w:h="15840"/>
      <w:pgMar w:top="1152" w:right="1224" w:bottom="1152"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Project FORESIGHT — Demand &amp; Inventory Intelligence | Zidio Development Internship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Vishveshwarya Group of Institutions | Internship Working Report — Ashit Upadhyay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