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云服务框架合作协议</w:t>
      </w:r>
    </w:p>
    <w:p>
      <w:r>
        <w:t>甲方：星河云计算有限公司</w:t>
      </w:r>
    </w:p>
    <w:p>
      <w:r>
        <w:t>统一社会信用代码：91110108MA01XXXXX2</w:t>
      </w:r>
    </w:p>
    <w:p>
      <w:r>
        <w:t>住所：北京市海淀区中关村软件园二期8号楼16层</w:t>
      </w:r>
    </w:p>
    <w:p>
      <w:r>
        <w:t>法定代表人：张明远</w:t>
      </w:r>
    </w:p>
    <w:p/>
    <w:p>
      <w:r>
        <w:t>乙方：蓝海数据科技有限公司</w:t>
      </w:r>
    </w:p>
    <w:p>
      <w:r>
        <w:t>统一社会信用代码：91440300MA5DXXXXX7</w:t>
      </w:r>
    </w:p>
    <w:p>
      <w:r>
        <w:t>住所：深圳市南山区科技园南区数字大厦22层</w:t>
      </w:r>
    </w:p>
    <w:p>
      <w:r>
        <w:t>法定代表人：李思涵</w:t>
      </w:r>
    </w:p>
    <w:p>
      <w:r>
        <w:t>鉴于甲方拥有云计算基础设施资源，乙方具备数据技术服务能力，双方经友好协商，就云服务合作事宜达成如下协议。</w:t>
      </w:r>
    </w:p>
    <w:p>
      <w:pPr>
        <w:pStyle w:val="Heading1"/>
      </w:pPr>
      <w:r>
        <w:t>第一章 定义与解释</w:t>
      </w:r>
    </w:p>
    <w:p>
      <w:r>
        <w:t>本协议中，除非上下文另有明确约定，下列术语具有如下含义：</w:t>
        <w:br/>
        <w:t>"服务"指甲方根据本协议向乙方提供的云计算基础设施及相关技术支持服务，包括但不限于计算实例、对象存储、内容分发网络（CDN）、数据库托管及安全防护等。</w:t>
        <w:br/>
        <w:t>"服务期限"指自本协议生效之日起至终止或解除之日止的连续期间，初始服务期限为三十六个月，自2026年8月1日起算。</w:t>
        <w:br/>
        <w:t>"服务费用"指乙方因使用甲方服务而应向甲方支付的全部对价，包括基础资源费、流量超额费、增值服务费及依照本协议约定应支付的违约金、赔偿金等。</w:t>
        <w:br/>
        <w:t>"机密信息"指一方在合作过程中以书面、口头或其他可识别形式向另一方披露的、标注为"机密"或依其性质应被合理视为机密的信息，包括但不限于技术方案、客户名单、财务数据、商业计划及本协议的存在与条款本身。</w:t>
        <w:br/>
        <w:t>"不可抗力"指不能预见、不能避免且不能克服的客观情况，包括自然灾害（地震、洪水、台风）、政府行为（法律政策变更、行政命令）、社会异常事件（战争、罢工、瘟疫）以及电力、电信网络故障等非因任何一方过错导致的情况。</w:t>
        <w:br/>
        <w:t>"工作日"指中华人民共和国法定工作日，即除周六、周日及国务院规定的节假日之外的公历日。</w:t>
        <w:br/>
        <w:t>"SLA标准"指甲方在服务级别协议中承诺的服务可用性指标，当前版本规定月度服务可用率不低于99.95%，单次故障最长恢复时间不超过四小时。</w:t>
        <w:br/>
        <w:br/>
        <w:t>上述定义适用于本协议全文。如本协议条款与附件中的定义存在冲突，以本条为准。双方确认，在签署本协议前已充分理解并认可上述全部定义的含义与适用范围。任何对本条定义的修改或补充须经双方书面一致同意方可生效。</w:t>
      </w:r>
    </w:p>
    <w:p>
      <w:pPr>
        <w:pStyle w:val="Heading1"/>
      </w:pPr>
      <w:r>
        <w:t>第二章 服务范围与费用</w:t>
      </w:r>
    </w:p>
    <w:p>
      <w:r>
        <w:t>2.1 服务内容概述</w:t>
        <w:br/>
        <w:t>甲方同意在本协议有效期内向乙方提供以下类别的基础设施服务：（a）弹性计算服务——包括通用型计算实例（规格不低于8 vCPU/32GB内存，配置NVIDIA A800加速卡两块）和内存优化型计算实例（规格不低于16 vCPU/128GB内存），部署区域位于华北-北京3区及华东-上海2区；（b）对象存储服务——提供标准存储容量500TB、低频访问存储容量200TB及归档存储容量100TB，支持S3兼容API接口调用；（c）数据库托管服务——包括主备架构的MySQL 8.0集群（规格为4核16GB，存储空间2TB SSD）及Redis 7.0缓存集群（规格为8核32GB，内存64GB）；（d）内容分发网络服务——提供全国200个以上边缘节点加速，保障静态资源平均回源延迟低于50毫秒；（e）安全防护服务——包括DDoS高防清洗（防护峰值不低于300Gbps）、Web应用防火墙（WAF）规则策略定制及SSL证书管理与自动续期。</w:t>
        <w:br/>
        <w:br/>
        <w:t>2.2 费用结构与支付方式</w:t>
        <w:br/>
        <w:t>2.2.1 基础资源费采用包年预付费模式，首年度费用总额为人民币肆佰捌拾陆万元整（¥4,860,000.00），分两期支付：首期款于本协议签署后十五个工作日内支付60%即人民币贰佰玖拾壹万陆仟元整（¥2,916,000.00），余款于服务上线验收合格后三十日内付清。第二年度及第三年度费用在上一年度届满前45日内按同等比例支付，费用金额每年递增3%。若乙方在服务期限内申请扩容，扩容部分费用按实际使用量从当期账单中追加计收。</w:t>
        <w:br/>
        <w:br/>
        <w:t>2.2.2 流量超额费按月结算，对象存储外网下行流量超出免费配额（每月50TB）的部分按每GB人民币0.25元计费；CDN流量超出免费配额（每月20TB）的部分按每GB人民币0.18元计费；数据库公网出方向流量超出免费配额（每月5TB）的部分按每GB人民币0.80元计费。甲方应于每月5日前通过电子邮件向乙方发送上月账单明细，乙方应在收到账单后10个工作日内完成核对并付款，逾期未提出书面异议的视为认可账单金额。</w:t>
        <w:br/>
        <w:br/>
        <w:t>2.2.3 增值服务费包括但不限于：数据迁移服务费（一次性收费人民币15万元整）、专属客户成功经理服务费（每月人民币12,000元）、定制化安全评估报告费（每次人民币8,000元）及7×24小时电话/在线技术支持升级服务费（每月人民币5,000元）。增值服务的开通须由乙方提前五个工作日提交书面申请，甲方确认后开始计费。</w:t>
        <w:br/>
        <w:br/>
        <w:t>2.3 发票开具</w:t>
        <w:br/>
        <w:t>甲方应在收到每笔款项后30个工作日内向乙方开具增值税专用发票，税率为6%（信息技术服务-基础设施服务）。发票抬头应为"蓝海数据科技有限公司"，纳税人识别号填写91440300MA5DXXXXX7，地址及电话填写深圳市南山区科技园南区数字大厦22层0755-88889999，开户行及账号填写招商银行深圳高新支行7559012345678901234。如乙方需变更开票信息，应至少提前十个工作日书面通知甲方并提供新的税务登记证件复印件。</w:t>
      </w:r>
    </w:p>
    <w:p>
      <w:pPr>
        <w:pStyle w:val="Heading1"/>
      </w:pPr>
      <w:r>
        <w:t>第三章 权利与义务</w:t>
      </w:r>
    </w:p>
    <w:p>
      <w:r>
        <w:t>3.1 甲方的权利与义务</w:t>
        <w:br/>
        <w:t>3.1.1 甲方应保证所提供的服务符合国家法律法规要求及行业通行技术标准，确保服务平台的物理安全、网络安全和数据安全。甲方应对数据中心实施严格的门禁管理、视频监控和环境监测（温度控制在22±3摄氏度，湿度控制在50%±10%RH），配备不间断电源（UPS）及备用柴油发电机组，确保在市电中断后至少能持续供电八小时以上。</w:t>
        <w:br/>
        <w:br/>
        <w:t>3.1.2 甲方应在服务期限内持续维护和升级底层基础设施，提前不少于30个工作日通知乙方计划内的维护窗口（通常安排在每月最后一个周六凌晨0:00-6:00），维护期间如影响服务可用性，甲方应相应延长乙方的服务有效期或减免对应时段的费用。对于紧急安全补丁更新，甲方可不经事先通知立即执行，但应在事后24小时内向乙方提交变更说明及影响评估报告。</w:t>
        <w:br/>
        <w:br/>
        <w:t>3.1.3 甲方有权依据本协议约定向乙方收取各项费用，并在乙方逾期付款时暂停部分或全部服务。甲方还有权在发现乙方利用甲方服务从事违法违规活动时（包括但不限于传播违法信息、发起网络攻击、侵犯第三方知识产权），立即中止服务并向有关主管部门报告，同时保留追究乙方法律责任的权利。</w:t>
        <w:br/>
        <w:br/>
        <w:t>3.1.4 甲方应对乙方在服务过程中产生的业务数据和用户信息严格保密，未经乙方书面同意不得向任何第三方披露、出售或用于本协议目的之外的其他用途。即使本协议终止后，保密义务仍持续有效五年。但以下情形除外：（a）经司法或行政机关依法要求披露的；（b）披露时该信息已进入公有领域的；（c）接收方能够证明其在接收前已合法持有的。</w:t>
        <w:br/>
        <w:br/>
        <w:t>3.2 乙方的权利与义务</w:t>
        <w:br/>
        <w:t>3.2.1 乙方有权按照本协议约定的服务内容和质量标准使用甲方提供的服务，并通过甲方提供的控制台或API接口实时监控资源使用状态和服务健康指标。乙方有权要求甲方定期（每季度一次）提供服务运行报告，内容包括可用性统计、故障记录及处理结果、性能基线对比及优化建议。</w:t>
        <w:br/>
        <w:br/>
        <w:t>3.2.2 乙方应按时足额支付本协议项下所有应付费用。如乙方对账单金额有异议，应在付款期限内提出书面异议并附具证据材料，异议期间不构成乙方的正当迟延履行理由。乙方逾期付款超过15日的，甲方有权按日加收逾期金额万分之五的滞纳金；逾期超过30日的，甲方有权单方面解除本协议并要求乙方赔偿因此造成的全部损失（包括但不限于直接经济损失、律师费、诉讼费及预期利益损失）。</w:t>
        <w:br/>
        <w:br/>
        <w:t>3.2.3 乙方对其上传至甲方平台的所有内容的合法性、合规性承担完全责任。乙方承诺不会利用甲方服务存储、传输、处理任何违反中国法律法规的内容，包括但不限于涉及国家安全、淫秽色情、赌博诈骗、侵犯公民个人信息等内容。如因乙方内容违规导致甲方受到行政处罚或第三方索赔，乙方应全额赔偿甲方的损失并自行承担相应的法律责任。</w:t>
        <w:br/>
        <w:br/>
        <w:t>3.2.4 乙方应妥善保管其账户密码、API密钥及其他身份认证凭证，因凭证泄露导致的任何损失由乙方自行承担。乙方如发现凭证可能被盗用，应立即通知甲方并配合采取冻结、重置等措施。甲方在接到通知后一小时内完成应急响应，但因乙方延迟通知造成的扩大损失仍由乙方承担。</w:t>
      </w:r>
    </w:p>
    <w:p>
      <w:pPr>
        <w:pStyle w:val="Heading1"/>
      </w:pPr>
      <w:r>
        <w:t>第四章 违约责任</w:t>
      </w:r>
    </w:p>
    <w:p>
      <w:r>
        <w:t>4.1 一般违约责任</w:t>
        <w:br/>
        <w:t>任何一方违反本协议约定均构成违约，守约方有权要求违约方承担继续履行、采取补救措施或赔偿损失等违约责任。损失赔偿范围包括守约方因此遭受的直接损失和合理预见的间接损失，但违约方对不可预见的损失不承担责任。双方确认，本协议签订时可合理预见的损失上限为本协议总金额的30%，即人民币壹佰肆拾伍万捌仟元整（¥1,458,000.00）。</w:t>
        <w:br/>
        <w:br/>
        <w:t>4.2 甲方违约情形及责任</w:t>
        <w:br/>
        <w:t>4.2.1 如甲方提供的服务月度可用性低于99.95% SLA标准的，每降低0.01个百分点，甲方应向乙方补偿当月基础资源费的1%作为服务信用额度，该额度可用于抵扣后续月份的服务费用。月度可用性低于99.00%的，乙方有权选择解除本协议，甲方应退还乙方已支付但尚未消费的全部剩余费用，并额外支付相当于剩余费用10%的违约金。</w:t>
        <w:br/>
        <w:br/>
        <w:t>4.2.2 如甲方擅自将乙方业务数据提供给第三方（司法机关依法要求的除外），或因甲方过错导致乙方数据丢失、泄露且无法恢复的，甲方应按数据丢失或泄露事件发生前十二个月内该类数据所产生的平均月收入的五倍向乙方支付赔偿金，最低赔偿额不低于人民币伍拾万元整（¥500,000.00）。</w:t>
        <w:br/>
        <w:br/>
        <w:t>4.2.3 如甲方无正当理由单方面提前终止本协议的，应提前九十日书面通知乙方，退还乙方已支付的剩余期间全部费用，并支付相当于剩余期间费用20%的违约金。</w:t>
        <w:br/>
        <w:br/>
        <w:t>4.3 乙方违约情形及责任</w:t>
        <w:br/>
        <w:t>4.3.1 乙方逾期付款的，自逾期之日起按日利率万分之五计收滞纳金。逾期超过30日的，甲方有权暂停服务；超过60日的，甲方有权解除本协议。因乙方逾期付款导致的服务中断期间，乙方仍应支付对应时段的服务费用，且甲方不承担任何SLA赔偿责任。</w:t>
        <w:br/>
        <w:br/>
        <w:t>4.3.2 如乙方利用甲方服务从事违法违规活动导致甲方平台被主管部门调查、处罚或关停的，乙方应赔偿甲方因此遭受的全部损失，包括但不限于罚款金额、整改成本、商誉损失（按罚款金额的三倍估算）及其他客户的退费索赔。</w:t>
        <w:br/>
        <w:br/>
        <w:t>4.3.3 本协议终止后，乙方应在30日内完成数据迁移并将所占用的全部资源释放。逾期未释放的，甲方有权强制销毁相关数据并不予退还对应时段的费用，由此产生的数据丢失风险由乙方自行承担。</w:t>
        <w:br/>
        <w:br/>
        <w:t>4.4 责任限制</w:t>
        <w:br/>
        <w:t>除故意或重大过失外，任何一方对另一方的间接损失、附带损失或惩罚性损害赔偿不承担责任。在任何情况下，一方的累计赔偿责任总额不超过本协议已履行总金额的50%。本条款不影响违约方因其侵权行为依法应承担的责任。</w:t>
      </w:r>
    </w:p>
    <w:p>
      <w:pPr>
        <w:pStyle w:val="Heading1"/>
      </w:pPr>
      <w:r>
        <w:t>第五章 争议解决与其他</w:t>
      </w:r>
    </w:p>
    <w:p>
      <w:r>
        <w:t>5.1 争议解决方式</w:t>
        <w:br/>
        <w:t>凡因本协议引起的或与本协议有关的任何争议，双方应首先通过友好协商解决。协商不成的，任何一方均有权将争议提交北京仲裁委员会按照申请仲裁时该会现行有效的仲裁规则进行仲裁。仲裁地点为北京市，仲裁语言为中文。仲裁裁决是终局的，对双方均有约束力。仲裁费用由败诉方承担，除非仲裁庭另有裁决。在仲裁期间，除正在仲裁的事项外，本协议其他条款继续有效。</w:t>
        <w:br/>
        <w:br/>
        <w:t>5.2 协议的变更与转让</w:t>
        <w:br/>
        <w:t>5.2.1 对本协议的任何修改或补充均须以书面形式作出，并经双方法定代表人或授权代表签字并加盖公章后方可生效。口头承诺、会议纪要、往来邮件等非正式文件不构成本协议的有效修改。</w:t>
        <w:br/>
        <w:br/>
        <w:t>5.2.2 未经对方事先书面同意，任何一方不得将其在本协议项下的权利义务全部或部分转让给第三方。甲方因合并、分立或资产重组而发生的主体变更除外，但甲方应及时通知乙方并提供相关证明文件。</w:t>
        <w:br/>
        <w:br/>
        <w:t>5.3 协议的生效与终止</w:t>
        <w:br/>
        <w:t>5.3.1 本协议自双方法定代表人或授权代表签字并加盖公章之日起生效，有效期为三十六个月。有效期届满前六十日，如双方均未提出书面异议，本协议自动延续十二个月，以此类推。</w:t>
        <w:br/>
        <w:br/>
        <w:t>5.3.2 除本协议另有约定外，任一方可在提前九十日书面通知对方的情况下无条件终止本协议。协议终止后，第4.3.3条关于数据迁移的规定仍然适用。</w:t>
        <w:br/>
        <w:br/>
        <w:t>5.3.3 如发生以下任一情形，守约方有权立即书面通知违约方解除本协议：（a）一方进入破产清算程序或被宣告破产的；（b）一方的营业执照被吊销或注销的；（c）一方严重违反本协议核心条款（包括但不限于保密义务、付款义务、合法使用义务）且在收到守约方书面催告后30日内仍未纠正的。</w:t>
        <w:br/>
        <w:br/>
        <w:t>5.4 通知与送达</w:t>
        <w:br/>
        <w:t>5.4.1 双方之间与本协议有关的任何通知、请求或其他通信均应以书面形式作出，并通过专人递送、挂号信或特快专递的方式送达。电子邮件可作为辅助沟通手段，但不构成本协议项下的有效通知。</w:t>
        <w:br/>
        <w:br/>
        <w:t>5.4.2 各方的通知地址以本协议首部载明的住所为准。任何一方变更通知地址的，应提前五个工作日书面告知对方。变更前按原地址发出的通知视为有效送达。挂号信/快递发出后第五个工作日视为送达日。</w:t>
        <w:br/>
        <w:br/>
        <w:t>5.5 完整性与可分割性</w:t>
        <w:br/>
        <w:t>本协议（含全部附件）构成双方就合作事项达成的完整合意，取代此前双方就同一事项进行的所有口头或书面磋商、谅解备忘录及意向书。如本协议任何条款被有管辖权的法院或仲裁机构认定为无效或不可执行，其余条款的效力不受影响。</w:t>
        <w:br/>
        <w:br/>
        <w:t>5.6 适用法律</w:t>
        <w:br/>
        <w:t>本协议的订立、效力、解释、履行及争议解决均适用中华人民共和国法律（不包括香港特别行政区、澳门特别行政区和台湾地区的法律）。</w:t>
        <w:br/>
        <w:br/>
        <w:t>（以下为签署页，无正文）</w:t>
        <w:br/>
        <w:br/>
        <w:t>甲方：星河云计算有限公司（盖章）</w:t>
        <w:br/>
        <w:t>法定代表人或授权代表（签字）：_______________</w:t>
        <w:br/>
        <w:t>日期：______年____月____日</w:t>
        <w:br/>
        <w:br/>
        <w:t>乙方：蓝海数据科技有限公司（盖章）</w:t>
        <w:br/>
        <w:t>法定代表人或授权代表（签字）：_______________</w:t>
        <w:br/>
        <w:t>日期：______年____月____日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