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NotoSansSC-Bold" w:hAnsi="NotoSansSC-Bold" eastAsia="NotoSansSC-Bold"/>
        </w:rPr>
        <w:t>信息安全管理制度</w:t>
      </w:r>
    </w:p>
    <w:p>
      <w:r>
        <w:rPr>
          <w:rFonts w:ascii="NotoSansSC" w:hAnsi="NotoSansSC" eastAsia="NotoSansSC"/>
        </w:rPr>
        <w:t>为保障公司信息系统安全稳定运行，防范信息泄露风险，根据国家相关法律法规制定本制度。</w:t>
      </w:r>
    </w:p>
    <w:p>
      <w:pPr>
        <w:pStyle w:val="Heading2"/>
      </w:pPr>
      <w:r>
        <w:rPr>
          <w:rFonts w:ascii="NotoSansSC-Bold" w:hAnsi="NotoSansSC-Bold" eastAsia="NotoSansSC-Bold"/>
        </w:rPr>
        <w:t>账号与权限管理</w:t>
      </w:r>
    </w:p>
    <w:p>
      <w:r>
        <w:rPr>
          <w:rFonts w:ascii="NotoSansSC" w:hAnsi="NotoSansSC" eastAsia="NotoSansSC"/>
        </w:rPr>
        <w:t>系统账号实行一人一号制，禁止多人共用同一账号。离职人员账号须在24小时内停用。</w:t>
      </w:r>
    </w:p>
    <w:p>
      <w:pPr>
        <w:pStyle w:val="Heading2"/>
      </w:pPr>
      <w:r>
        <w:rPr>
          <w:rFonts w:ascii="NotoSansSC-Bold" w:hAnsi="NotoSansSC-Bold" eastAsia="NotoSansSC-Bold"/>
        </w:rPr>
        <w:t>数据分类分级</w:t>
      </w:r>
    </w:p>
    <w:p>
      <w:r>
        <w:rPr>
          <w:rFonts w:ascii="NotoSansSC" w:hAnsi="NotoSansSC" eastAsia="NotoSansSC"/>
        </w:rPr>
        <w:t>公司数据分为公开、内部、机密、绝密四级。机密级数据传输须使用加密通道。</w:t>
      </w:r>
    </w:p>
    <w:p>
      <w:r>
        <w:rPr>
          <w:rFonts w:ascii="NotoSansSC" w:hAnsi="NotoSansSC" eastAsia="NotoSansSC"/>
          <w:b/>
          <w:color w:val="1A56DB"/>
        </w:rPr>
        <w:t>唯一金句D：当哈雷彗星下次回归时人类已在火星建立永久基地。</w:t>
      </w:r>
    </w:p>
    <w:p>
      <w:pPr>
        <w:pStyle w:val="Heading1"/>
      </w:pPr>
      <w:r>
        <w:rPr>
          <w:rFonts w:ascii="NotoSansSC-Bold" w:hAnsi="NotoSansSC-Bold" eastAsia="NotoSansSC-Bold"/>
        </w:rPr>
        <w:t>附则</w:t>
      </w:r>
    </w:p>
    <w:p>
      <w:r>
        <w:t>本制度自发布之日起执行，由信息安全部负责解释。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