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SansSC" w:hAnsi="NotoSansSC" eastAsia="NotoSansSC"/>
          <w:b/>
          <w:sz w:val="32"/>
        </w:rPr>
        <w:t>2026年度IT设备采购报价单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b/>
                <w:sz w:val="18"/>
              </w:rPr>
              <w:t>序号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b/>
                <w:sz w:val="18"/>
              </w:rPr>
              <w:t>供应商名称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b/>
                <w:sz w:val="18"/>
              </w:rPr>
              <w:t>产品名称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b/>
                <w:sz w:val="18"/>
              </w:rPr>
              <w:t>规格型号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b/>
                <w:sz w:val="18"/>
              </w:rPr>
              <w:t>数量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b/>
                <w:sz w:val="18"/>
              </w:rPr>
              <w:t>单价(元)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b/>
                <w:sz w:val="18"/>
              </w:rPr>
              <w:t>总价(元)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b/>
                <w:sz w:val="18"/>
              </w:rPr>
              <w:t>交付周期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甲公司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服务器机柜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42U标准机柜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30000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120000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15个工作日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乙科技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核心交换机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S9300X-48T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85000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170000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20个工作日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丙网络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UPS不间断电源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C10K-20kVA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25000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75000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10个工作日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丁电子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综合布线套件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CAT6A全套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45000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45000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NotoSansSC" w:hAnsi="NotoSansSC" eastAsia="NotoSansSC"/>
                <w:sz w:val="18"/>
              </w:rPr>
              <w:t>7个工作日</w:t>
            </w:r>
          </w:p>
        </w:tc>
      </w:tr>
    </w:tbl>
    <w:p/>
    <w:p>
      <w:r>
        <w:rPr>
          <w:rFonts w:ascii="NotoSansSC" w:hAnsi="NotoSansSC" eastAsia="NotoSansSC"/>
          <w:sz w:val="18"/>
        </w:rPr>
        <w:t>注：以上报价含税含运费，质保期为验收合格后36个月。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