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f748c1f (26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v2.34 | Module 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locks the actor row with select_for_update, so two simultaneous requests cannot open concurrent sessions, then ends the existing sessions and creates the new one inside the same transaction. Validation runs before any of it, so a failed selection leaves the current proxy untouched.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replaced session emits its own end event even though the database update is bulk, so the trail records a switch as an end and a start rather than as a silent hand-over.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end_impersonations_for_user ends sessions where the user is either actor or target, so disabling either identity closes the session. A receiver on Tenant ends every active session scoped to a tenant that leaves ACTIVE, which lets tenancy drive the rule without vs_tenants importing this app.</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Both are bulk and idempotent, because a session may already have ended by another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read-only list over tracked background jobs, newest first, filterable by status, task name, kind, date and tenant, with a per-run detail carrying the redacted error and a stats action pairing all-time counts against the last 24 hours. List rows carry no result, error or traceback at all; has_diagnostic reports whether raw text exists to open.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Pairing the two windows is what makes a regression visible: an all-time failure count alone cannot distinguish a bad afternoon from a bad quarter. Separating the list from the payload is what makes it safe: triage asks whether anything is on fire, and that question is answered by status and timing, never by fifty tracebacks rendered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?status= and ?kind= remain unvalidated free text, so a mistyped filter reads as an empty queue rather than a 400.</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?tenant= accepts a slug or id and narrows within that; an unknown slug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while the authentication layer still required a ?tenant= assertion it never used - so the surface read as tenant-scoped and provided none, and an agent working one school's ticket paged through the others to find it. Unscoped totals additionally leaked the size of tenants the reader could not list.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the actor's row, ends whatever session they already held, and creates the new one. It ends in one of four ways: the actor exits it, somebody holding the end key terminates it, the sweep expires it for passing its deadline or sitting idle, or the account or tenant it depends on stops being usable. Every one of those writes an ended state and a time, so a session that is no longer live never merely stops being mentioned.</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 tenant leaving ACTIVE ends every active session scoped to it, driven by a receiver so tenancy need not import this app.</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FURTHER GAPS</w:t>
            </w:r>
          </w:p>
          <w:p>
            <w:pPr>
              <w:spacing w:before="0" w:after="40" w:line="240" w:lineRule="auto"/>
            </w:pPr>
            <w:r>
              <w:rPr>
                <w:rFonts w:ascii="Aptos Narrow" w:hAnsi="Aptos Narrow"/>
                <w:b w:val="0"/>
                <w:color w:val="000000"/>
                <w:sz w:val="17"/>
              </w:rPr>
              <w:t>• Privileged access to this console does not require MFA. It is the platform's operator surface and the entry point to proxying, which makes it the strongest candidate for the requirement, and it is tracked as a P0 in the MRD.</w:t>
            </w:r>
          </w:p>
          <w:p>
            <w:pPr>
              <w:spacing w:before="0" w:after="40" w:line="240" w:lineRule="auto"/>
            </w:pPr>
            <w:r>
              <w:rPr>
                <w:rFonts w:ascii="Aptos Narrow" w:hAnsi="Aptos Narrow"/>
                <w:b w:val="0"/>
                <w:color w:val="000000"/>
                <w:sz w:val="17"/>
              </w:rPr>
              <w:t>• Unattributable webhook failures are counted for nobody now that the signal is tenant-scoped. Platform operations has no signal of its own for them.</w:t>
            </w:r>
          </w:p>
          <w:p>
            <w:pPr>
              <w:spacing w:before="0" w:after="40" w:line="240" w:lineRule="auto"/>
            </w:pPr>
            <w:r>
              <w:rPr>
                <w:rFonts w:ascii="Aptos Narrow" w:hAnsi="Aptos Narrow"/>
                <w:b w:val="0"/>
                <w:color w:val="000000"/>
                <w:sz w:val="17"/>
              </w:rPr>
              <w:t>• The platform-actor gate is applied per view. A new globally scoped surface must remember it; nothing enforces it across the app.</w:t>
            </w:r>
          </w:p>
          <w:p>
            <w:pPr>
              <w:spacing w:before="0" w:after="40" w:line="240" w:lineRule="auto"/>
            </w:pPr>
            <w:r>
              <w:rPr>
                <w:rFonts w:ascii="Aptos Narrow" w:hAnsi="Aptos Narrow"/>
                <w:b w:val="0"/>
                <w:color w:val="000000"/>
                <w:sz w:val="17"/>
              </w:rPr>
              <w:t>• Justification on a proxy session defaults to a fixed string, so the field is always populated but not always informative.</w:t>
            </w:r>
          </w:p>
          <w:p>
            <w:pPr>
              <w:spacing w:before="0" w:after="40" w:line="240" w:lineRule="auto"/>
            </w:pPr>
            <w:r>
              <w:rPr>
                <w:rFonts w:ascii="Aptos Narrow" w:hAnsi="Aptos Narrow"/>
                <w:b w:val="0"/>
                <w:color w:val="000000"/>
                <w:sz w:val="17"/>
              </w:rP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v2.34. Each maps to the requirements below.</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XVision Admin Console Functional Requirements Document v1.0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XVision Admin Console Functional Requirements Document v1.0</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