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f748c1f, the task-monitor authorization and failure-redaction work (26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v2.34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Task monitor gated on RBAC, failure text redacted at source, raw diagnostics audited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v2.34 Documentation Delta</w:t>
      </w:r>
    </w:p>
    <w:p w14:paraId="4C4A5E5A" w14:textId="77777777" w:rsidR="00472341" w:rsidRDefault="00000000">
      <w:pPr>
        <w:spacing w:after="100" w:line="240" w:lineRule="auto" w:before="0"/>
      </w:pPr>
      <w:r>
        <w:t>This revision closes the task monitor's authorization gap and stops the platform storing what that gap exposed. Access follows three seeded keys instead of Django's is_staff flag, the run list carries metadata only, failure text is redacted where every task finishes, and the unredacted copy moved to an audited store kept 400 days. Module 2 gains two capability entries and one current gap; Modules 4 and 5 keep their backend and integration states.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v2.34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CodeX account could read every tenant's task results and tracebacks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now requires platform.tasks.view and a platform-tenant caller. It had been gated on Django's is_staff flag, which marks permission to log into the Django admin and which every CodeX account carries, read through a second IsVisionStaff class that shadowed the platform's real one - so the call site read as the platform boundary while asking a much weaker question. Cross-tenant listing and raw failure text are two further keys, both held by the Super Admin alone.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Failure text carried personal data into the database, the backups and the school-facing queue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Errors, tracebacks and results are redacted at the single point every task finishes, so a duplicated guardian import stores Key (email)=([redacted]) rather than the address Postgres quoted. Two other readers of the same column were fixed without being touched: the owner's completion notification, which quotes the error, and the school-facing queue at /v1/user/me/tasks/.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Raw tracebacks were readable by anyone and no record said who had read them</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text moved to a store nothing lists, opened per run by platform.tasks.view_sensitive and kept 400 days against the queue's 90, so an investigation outlives the host's own log retention. Each read writes a TASK_DIAGNOSTIC_VIEWED event against the school's tenant, so the school's auditor can see who read their data.</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