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9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at 9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v2.74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now resolves its target through the same tenant and branch scope as the account viewset, and an out-of-scope id receives the same 404 as a missing one. The identity audit endpoint also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Within the platform tenant, the unauthenticated barcode preview remains a name-and-existence oracle by design and is limited only by its throttle.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LoginSession stores the refresh token's JTI, the address,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address,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Sign in. Optional tenant slug in the body. A browser Origin must match the first-party allowlist. Returns access and session context, sets the refresh and CSRF cookies, and never returns refresh.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accounts, or create one. platform.team.view / .create. The list is tenant and branch narrowed.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The focused browser-session contract contains nine tests and passed in full, alongside the two existing session-scoped logout tests. The migrated school client passed 46 focused auth tests and its production build; its source and production bundle contain neither js-cookie nor refresh-token identifiers. The Console's cookie flow is already present, and its focused auth test passed during this review.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Cross-tenant isolation on every account action: an administrator cannot suspend, unlock, rename, force-logout, invite or reset an account outside their own tenant and branch reach. Covered by AccountActionScopeMatrixTests.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v2.74 records Module 3 as Identity, Team &amp; Organogram, Phase V1, Backend Partial, In use Complete, code ownership vs_user, with seventeen capability entries. Each entry maps below.</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Sixteen actions reach the shared tenant-scoped trail behind platform.audit.view;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v2.74 lists Module 3 as Backend Partial and In use Complete with seventeen capabilities. This revision records recovery of a lost invitation hand-off inside the existing invitation capability, without adding a product surface or changing the count.</w:t>
              <w:br/>
              <w:t>• A refused hand-off is a recorded failed delivery on the invitation rather than a log line, and the scheduled re-send issues a new token because only the digest of the lost one was stored.</w:t>
              <w:br/>
              <w:t>• Partial remains correct because privileged MFA and the existing tenant lifecycle, lockout, retention, audit-model and organogram gaps remain. The retention gap is narrowed and not closed: vs_user now has a beat entry, and none of the expiry housekeeping is on it.</w:t>
              <w:br/>
              <w:t>• Backend evidence only. Neither document claims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v1.11</dc:title>
  <cp:lastModifiedBy>Chidera Ohiaekpete</cp:lastModifiedBy>
  <cp:revision>1</cp:revision>
  <cp:lastPrinted>2026-07-17T18:03:00Z</cp:lastPrinted>
  <dcterms:created xsi:type="dcterms:W3CDTF">2026-07-17T18:03:00Z</dcterms:created>
  <dcterms:modified xsi:type="dcterms:W3CDTF">2026-08-19T12:00:00Z</dcterms:modified>
  <cp:version>1.11</cp:version>
</cp:coreProperties>
</file>