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2.51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30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centralising tenant lifecycle transitions and transactional impersonation-session shutdown. Verified with 308 schools.vs_schools tests, 165 vs_admin_console tests, and 58 onboarding lifecycle tests on 30 August 2026.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468</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v2.51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Tenant shutdown now ends proxy access permanently and transactionally</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carries no URLs.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16</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and procurement</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v2.51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the school permission catalogue reaching the finance engine, which is what makes a bursar role possible for the first time. It also states plainly why payroll cannot be a permission group.</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v2.51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finance reach</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Granted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 of the twenty-eight school permission groups now name finance and procurement keys. Before this the school catalogue named no finance key at all, so a school user holding every school-facing bundle was still refused by every finance endpoint.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Payroll grouping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by design</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payroll and salary key is SENSITIVE or CRITICAL, and the group seeder refuses restricted keys. A group takes effect the moment it is picked, while a role change is reviewed. Payroll travels through a named role or not at all.</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Fee Configuration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It held two school.fees.* keys that no server code enforces, so granting it conferred the appearance of fee access and none of the substance. It now names the finance keys the endpoints actually check.</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Group attachment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new surface</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Patching a tenant role with group_ids already requires a change reason and already refuses a newly attached group carrying a restricted key. Two prebuilt suggestions, bursar and finance_manager, give that path a finance role to build.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