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1.2</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1.2</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25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main at 07beb5f plus secret-safe one-time credential delivery changes (25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v2.28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vs_config,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8 is the platform's one way of telling somebody something happened. A domain module raises a named event with a context; this module decides which channels may carry it for that tenant, renders the message for each recipient, writes the in-app record, queues the email, and keeps the outcome. Templates and ordinary rendered content remain visible to administrators. A one-time invitation or reset credential is the deliberate exception: history stores an inert marker and only the delivery worker sees the raw value. Queue tracking remains complete, while the bell is reserved for outcomes a person is waiting to use or act on.</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layout that composes the visual from the message text, and the per-template override that replaces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In-app records written immediately, email queued through Celery with retries and terminal outcomes.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 notification carries a tenant for filtering and history, but a recipient with no school is a first-class target, so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their own tenant</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Raise events and dispatch them.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Events are seeded from one registry and resolved by key at dispatch. An unknown or inactive key raises UnknownEventTypeError rather than sending anything. Each entry declares the channels it supports, its default, and whether it is transactional.</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unregistered key is refused. An event marked inactive dispatches on no channel regardless of any tenant setting. The settings matrix and the catalogue endpoint both list exactly the active registry.</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password reset or an invitation that a tenant preference can suppress is a lockout with no route out.</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An event marked transactional bypasses the settings matrix entirely and dispatches on its supported channels. The platform kill switch on the event type still applies.</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For a one-time invitation or reset credential, the caller supplies a marker in the rendered URL plus an ephemeral delivery replacement: the Notification row stores the marker, and the delivery worker substitutes the raw token only in memory before SMTP.</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NotificationSecretDeliveryTests proves a one-time secret is absent from stored body, HTML and metadata while the SMTP plain and HTML parts contain the working value.</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The exact 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A template carries a flag saying who maintains its markup. While it is false the markup is regenerated from the shared layout on every save; the first hand edit sets it, after which the markup is kept verbatim. Clearing it restores the standard design.</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Changing the message of a standard template changes its markup. Changing the message of a hand-edited one does not. Saving the regenerated standard markup back is not treated as a hand edit, so an editor that posts its whole form cannot freeze a template by accident.</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Preview renders through the same path dispatch uses and needs no payload: sample values are generated from the placeholders the template itself uses. It also accepts unsaved editor content, so the console re-renders as an author types,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A preview of any active template returns a complete HTML document. Preview writes nothing: no record is created and no mail is sent. Supplying context overrides the generated samples for those keys only.</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For one-time credentials, the record holds an inert marker and the delivery task receives a transient replacement that is not written back; it substitutes immediately before calling the platform mail helper.</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reader's tenant,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Channels are resolved for the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Tenant row, then platform row, then the event default.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Stored content contains no raw one-time credential.</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shared layout whenever the message changes.</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One-time credentials are represented by inert markers and are never persisted in subject, body, HTML or metadata. Metadata is internal and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and reset callers pass a stored marker plus the raw one-time replacement for delivery only; email-only invitation recipients remain supported.</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Records every Celery job and applies the default importance policy before raising task.completed or task.failed.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8 carries 21 capability entries in MRD v2.28.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FR-003, FR-010</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FR-012</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Notifications and Delivery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1.2</cp:version>
  <dc:title>Notifications and Delivery Functional Requirements Document v1.2</dc:title>
</cp:coreProperties>
</file>