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2.28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main at 07beb5f plus request-bound identity action-token and secret-safe notification delivery changes (25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v2.28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Request-bound one-time credentials and secret-safe delivery</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now carry separate token families, store only a keyed SHA-256 digest on the exact request row, rotate on resend or reissue, and consume that row under a lock. Which side of the platform boundary a person sits on is read from their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 Branch reach is resolved from the grants alone,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v2.28 Documentation Delta</w:t>
      </w:r>
    </w:p>
    <w:p w14:paraId="4C4A5E5A" w14:textId="77777777" w:rsidR="00472341" w:rsidRDefault="00000000">
      <w:pPr>
        <w:spacing w:after="100" w:line="240" w:lineRule="auto" w:before="0"/>
      </w:pPr>
      <w:r>
        <w:t>This revision closes a credential-rebinding defect across Modules 3 and 8. Every invitation and password-reset issue now creates its own random token, stores only the keyed SHA-256 digest on the row that owns it, and uses a separate token family. Preview and confirmation resolve that exact row; successful confirmation locks and consumes it once. A new reset therefore cannot make an older URL valid again. Notification records store a marker rather than the raw credential, and the delivery worker substitutes the raw value only in memory immediately before SMTP. Existing invitation URLs remain usable through the migration; legacy reset rows are consumed because the old schema could not prove which URL belonged to which row. Module states, capability counts, priority gaps, and build order are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v2.28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Old reset URL could revive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reset owns a unique pr_ token digest. Preview and confirmation query that exact PasswordResetRequest row, and a new request consumes the previous unused row.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user key served two actions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Separated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Invitation tokens use the iv_ family and invitation HMAC salt; reset tokens use pr_ and a different salt. A token from one family is refused by the other.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confirmations could race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Serialized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Confirmation locks the user and the exact request row with select_for_update, repeats the unused and expiry checks, and consumes the row in the password transaction.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Raw links could persist in delivery history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Prevented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Notification body and HTML store a marker. The Celery delivery call carries the replacement transiently and injects it only into the in-memory message sent to SMTP.</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Existing rows had no request-bound token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Migrated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Already-issued invitation UUIDs are preserved as invitation-only digests. Existing reset rows are consumed because no safe mapping from an old URL to one row existed.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v2.28</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