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1.33</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12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Backend and school application working trees, 12 October 2026. School profile Address and Registration number are registered and enforced through tenant Field Access. Backend and local frontend evidence only; no deployment or production adoption is claimed.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XVS Module Requirements Document v2.105</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r>
              <w:t xml:space="preserve"> </w:t>
            </w:r>
            <w:r>
              <w:t>On the school's own profile, Address and Registration number are registered under school.profile. A field with Read off is omitted, and a field with Write off remains readable but is named in _read_only_fields and removed from editable_fields. A forbidden write is rejected before the School is changed. School name stays public before sign-in and is outside tenant Field Access. Branch name, address and email remain read-only to schools; CodeX owns their writes.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r>
              <w:t xml:space="preserve"> </w:t>
            </w:r>
            <w:r>
              <w:t>SchoolProfileFieldAccessTests covers hidden, read-only and writable profile values, and SchoolProfileDeepPayloadTests proves the registered serializers carry no closed field at any depth for both one-Branch and two-Branch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pPr>
        <w:pStyle w:val="Heading2"/>
        <w:spacing w:before="220" w:after="120" w:line="240" w:lineRule="auto"/>
        <w:keepNext/>
        <w:pBdr>
          <w:bottom w:val="single" w:sz="8" w:space="5" w:color="355B9D"/>
        </w:pBdr>
      </w:pPr>
      <w:r>
        <w:t xml:space="preserve">FR-023  Register Subscription Commercial Terms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creation must capture a complete billing identity and a dated subscription agreement, and must register the school as a customer in CodeX's platform books in the same transaction.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requires name, billing email, phone and address. SchoolPackageSetup requires subscription_starts_at, snapshots the catalogue price for Basic, Standard or Premium, requires a positive school-specific quote for Enterprise, and stores an optional non-negative minimum billable student count. register_platform_customer writes a source-linked customer in the platform LedgerEntity. The creation job reports customer registration as its own required step. Later School contact and status saves synchronize the linked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Bright Star School cannot be created without any required billing field or its subscription start date. A Basic agreement records NGN 3,500 per student even if the catalogue changes later. An Enterprise agreement is refused until its quote is supplied. If customer registration fails, the whole school creation rolls back. Editing Bright Star's email, phone, address or active status updates the one linked platform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Creation does not raise an invoice. The billing module decides later whether the active-student snapshot has a non-zero charge.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r>
              <w:t xml:space="preserve"> </w:t>
            </w:r>
            <w:r>
              <w:t>Address and Registration number follow tenant Field Access on the response and PATCH body.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v2.105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v2.105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r>
              <w:t xml:space="preserve"> </w:t>
            </w:r>
            <w:r>
              <w:t>The school's own Address and Registration number follow tenant Field Access.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Registers the school profile's Address and Registration number under school.profile Field Access. The school's own GET and PATCH omit hidden values, identify readable non-writable values, and reject forbidden writes before saving. The school application removes hidden inputs from onboarding and Settings, greys read-only inputs, and sends only writable changes. School name stays public outside tenant Field Access. Branch name, address and email stay CodeX-owned and read-only to schools. No permission key, endpoint, capability count, or module status changes. Aligns with MRD v2.105 and M04 FRD v1.34. Backend and local frontend evidence only.</w:t>
            </w:r>
          </w:p>
        </w:tc>
      </w:tr>
      <w:tr>
        <w:tc>
          <w:tcPr>
            <w:tcW w:type="dxa" w:w="1080"/>
          </w:tcPr>
          <w:p>
            <w:r>
              <w:t>1.32</w:t>
            </w:r>
          </w:p>
        </w:tc>
        <w:tc>
          <w:tcPr>
            <w:tcW w:type="dxa" w:w="1655"/>
          </w:tcPr>
          <w:p>
            <w:r>
              <w:t>10 October 2026</w:t>
            </w:r>
          </w:p>
        </w:tc>
        <w:tc>
          <w:tcPr>
            <w:tcW w:type="dxa" w:w="7732"/>
          </w:tcPr>
          <w:p>
            <w:r>
              <w:t>Adds FR-023 for mandatory billing contact, dated tier agreement, Enterprise quote, optional billing floor, atomic platform-customer registration, creation progress and later synchronization. Removes subscription pricing from the open Module 1 gap; recurring invoice scheduling remains outside this module.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1.31</cp:version>
</cp:coreProperties>
</file>