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1.35.1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1.35.1</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26 October 2026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2.115</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service provisioning and branding seams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r>
              <w:t xml:space="preserve"> </w:t>
            </w:r>
            <w:r>
              <w:t>On the school's own profile, Address and Registration number are registered under school.profile. A field with Read off is omitted, and a field with Write off remains readable but is named in _read_only_fields and removed from editable_fields. A forbidden write is rejected before the School is changed. School name stays public before sign-in and is outside tenant Field Access. Branch name, address and email remain read-only to schools; CodeX owns their writes.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r>
              <w:t xml:space="preserve"> </w:t>
            </w:r>
            <w:r>
              <w:t>SchoolProfileFieldAccessTests covers hidden, read-only and writable profile values, and SchoolProfileDeepPayloadTests proves the registered serializers carry no closed field at any depth for both one-Branch and two-Branch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pPr>
        <w:pStyle w:val="Heading2"/>
        <w:spacing w:before="220" w:after="120" w:line="240" w:lineRule="auto"/>
        <w:keepNext/>
        <w:pBdr>
          <w:bottom w:val="single" w:sz="8" w:space="5" w:color="355B9D"/>
        </w:pBdr>
      </w:pPr>
      <w:r>
        <w:t xml:space="preserve">FR-023  Register Subscription Commercial Terms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creation must capture a complete billing identity and a dated subscription agreement, and must register the school as a customer in CodeX's platform books in the same transaction.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requires name, billing email, phone and address. SchoolPackageSetup requires subscription_starts_at, snapshots the catalogue price for Basic, Standard or Premium, requires a positive school-specific quote for Enterprise, and stores an optional non-negative minimum billable student count. register_platform_customer writes a source-linked customer in the platform LedgerEntity. The creation job reports customer registration as its own required step. Later School contact and status saves synchronize the linked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Bright Star School cannot be created without any required billing field or its subscription start date. A Basic agreement records NGN 3,500 per student even if the catalogue changes later. An Enterprise agreement is refused until its quote is supplied. If customer registration fails, the whole school creation rolls back. Editing Bright Star's email, phone, address or active status updates the one linked platform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Creation does not raise an invoice. The billing module decides later whether the active-student snapshot has a non-zero charge.</w:t>
            </w:r>
          </w:p>
        </w:tc>
      </w:tr>
    </w:tbl>
    <w:p>
      <w:pPr>
        <w:pStyle w:val="Heading2"/>
        <w:spacing w:before="220" w:after="120" w:line="240" w:lineRule="auto"/>
        <w:keepNext/>
        <w:pBdr>
          <w:bottom w:val="single" w:sz="8" w:space="5" w:color="355B9D"/>
        </w:pBdr>
      </w:pPr>
      <w:r>
        <w:t>FR-024  Give Every Member of Staff the Branch Reference List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FR-024  Give Every Member of Staff the Branch Reference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Serve the school's branch reference list to every current member of staff, while keeping branch administration behind its own permission.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Permission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GET /v1/i/me/branches/ and its detail use IsTenantStaff. school.branches.view still opens the Branches administration screen and is not required for this reference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Scoping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caller must be active staff of the asserted tenant. Another school's staff, a guardian, a pupil, and a person whose last staff grant was revoked receive no list. Platform staff pass only at the platform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Staff means an active role or an in-force personal ALLOW grant at the tenant, evaluated by vs_rbac.evaluator.is_tenant_staff. The rule is shared with tenant branch options, configuration capability reads, workflow, and procurement approvals. A school always has at least one branch; a null branch elsewhere still means school-wide.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teacher without school.branches.view reads the branches needed by a picker. A parent using the same address is refused. Removing the person's final active staff grant closes the list on the next request. Tests: schools.vs_schools.tests_my_branches and vs_tenants.tests_branch_options.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None. This is a reference-list contract, not authority to create, edit, transition, or delete a branch.</w:t>
            </w:r>
          </w:p>
        </w:tc>
      </w:tr>
    </w:tbl>
    <w:p>
      <w:pPr>
        <w:pStyle w:val="Heading2"/>
        <w:spacing w:before="220" w:after="120" w:line="240" w:lineRule="auto"/>
        <w:keepNext/>
        <w:pBdr>
          <w:bottom w:val="single" w:sz="8" w:space="5" w:color="355B9D"/>
        </w:pBdr>
      </w:pPr>
      <w:r>
        <w:t>FR-025  Provision School Services and Brand School Delivery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FR-025  Provision School Services and Brand School Delivery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Provision the school-owned approval and delivery seams needed by leave, email, push, native sign-in, and account closure without moving their domain rules into school setup.</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Provisioning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new school receives its one-stage line-manager leave route with the rest of its school setup. Existing schools receive a missing leave route from the deploy command, and an existing route of any shape is never replaced.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Branding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Delivery resolves the recipient's school at send time. School email uses the school's name as the From display name and its uploaded logo alone in the header; the address remains the platform address, a missing logo falls back to XVS, and the footer remains Powered by XVS. Platform mail keeps CodeX branding.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Public and signed-in seams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school's public name and logo routes let a store app resolve one school by its code without listing schools. The school exposes the shared native-session, phone-push, app-version, and account-closure routes owned by Modules 3, 8, 11, 27, 28, and 30.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newly created school can file leave through its own route; an email to Lagoon View Academy shows that school name and logo; an unknown school code reveals no list; and the shared endpoints retain their owning modules' authentication, tenant, branch, and Field Access rules.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school setup proves the backend seams only. Store-app use, production phone delivery, and account-closure screens remain separate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r>
              <w:t xml:space="preserve"> </w:t>
            </w:r>
            <w:r>
              <w:t>Address and Registration number follow tenant Field Access on the response and PATCH body.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2"/>
      </w:pPr>
      <w:r>
        <w:t>D83-D102 Current Contracts</w:t>
      </w:r>
    </w:p>
    <w:p>
      <w:pPr/>
      <w:r>
        <w:t>These contracts state current behavior at the committed evidence boundary and replace an earlier sentence wherever the two disagree.</w:t>
      </w:r>
    </w:p>
    <w:p>
      <w:r>
        <w:t>Every tenant, including the platform tenant, owns at least one active branch. New transactions take a branch, branch-bound callers default to their one branch, and a branch field appears only when the caller has a real choice. The branch audit and backfill commands find and repair historical omissions without treating a missing branch as a supported tenant shape.</w:t>
      </w:r>
    </w:p>
    <w:p>
      <w:r>
        <w:t>Printed dates, times, month labels, file-name days, warnings and refusal sentences use the school's display format and clock. Calendar dates do not shift, timestamps render in the relevant branch zone, and stored PDFs or export files retain the format used when they were created.</w:t>
      </w:r>
    </w:p>
    <w:p>
      <w:r>
        <w:t>The platform tenant's main branch is Lagos. A one-branch tenant books through its only branch while the branch dimension recedes from the interface.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Branch identity and contact fields: branch names remain product identifiers with no Field Access switch. Branch address, email and phone have role Read controls, open by default, and remain non-writable by school users.</w:t>
      </w:r>
    </w:p>
    <w:p>
      <w:pPr>
        <w:spacing w:after="60"/>
      </w:pPr>
      <w:r>
        <w:t>• Paystack terminals use the branch phone as their first WhatsApp destination. A new school copies its phone to the main branch; a branch without a phone waits in Needs number until one is supplied.</w:t>
      </w:r>
    </w:p>
    <w:p>
      <w:pPr>
        <w:spacing w:after="60"/>
      </w:pPr>
      <w:r>
        <w:t>• Field Access enforcement also covers profile and branch reads without changing the rule that every school has at least one branch and one-branch controls recede.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v2.105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v2.105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r>
              <w:t xml:space="preserve"> </w:t>
            </w:r>
            <w:r>
              <w:t>The school's own Address and Registration number follow tenant Field Access.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Reconciles school provisioning, school-branded email, and the public and signed-in seams used by native clients and account closure. Aligns with MRD v2.115.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Makes the branch reference list available to every current member of staff through the shared tenant-staff boundary, without granting branch administration. Aligns with MRD v2.111.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Reconciles the queued platform, Field Access, search and product contracts through 850e5b45 (14 October 2026). Aligns with MRD v2.106.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Registers the school profile's Address and Registration number under school.profile Field Access. The school's own GET and PATCH omit hidden values, identify readable non-writable values, and reject forbidden writes before saving. The school application removes hidden inputs from onboarding and Settings, greys read-only inputs, and sends only writable changes. School name stays public outside tenant Field Access. Branch name, address and email stay CodeX-owned and read-only to schools. No permission key, endpoint, capability count, or module status changes. Aligns with MRD v2.105 and M04 FRD v1.34. Backend and local frontend evidence only.</w:t>
            </w:r>
          </w:p>
        </w:tc>
      </w:tr>
      <w:tr>
        <w:tc>
          <w:tcPr>
            <w:tcW w:type="dxa" w:w="1080"/>
          </w:tcPr>
          <w:p>
            <w:r>
              <w:t>1.32</w:t>
            </w:r>
          </w:p>
        </w:tc>
        <w:tc>
          <w:tcPr>
            <w:tcW w:type="dxa" w:w="1655"/>
          </w:tcPr>
          <w:p>
            <w:r>
              <w:t>10 October 2026</w:t>
            </w:r>
          </w:p>
        </w:tc>
        <w:tc>
          <w:tcPr>
            <w:tcW w:type="dxa" w:w="7732"/>
          </w:tcPr>
          <w:p>
            <w:r>
              <w:t>Adds FR-023 for mandatory billing contact, dated tier agreement, Enterprise quote, optional billing floor, atomic platform-customer registration, creation progress and later synchronization. Removes subscription pricing from the open Module 1 gap; recurring invoice scheduling remains outside this module.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Retired an incorrect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v1.35.1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v1.35.1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1.35.1</cp:version>
</cp:coreProperties>
</file>