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and Accounting</w:t>
            </w:r>
          </w:p>
          <w:p w14:paraId="6071B59E" w14:textId="77777777" w:rsidR="00A62A3E" w:rsidRDefault="00000000">
            <w:pPr>
              <w:spacing w:after="180"/>
            </w:pPr>
            <w:r>
              <w:rPr>
                <w:color w:val="FFFFFF"/>
                <w:sz w:val="20"/>
              </w:rPr>
              <w:t>XVision Systems | Books, scoped lists, exports and settings</w:t>
            </w:r>
          </w:p>
          <w:p w14:paraId="05516311" w14:textId="77777777" w:rsidR="00A62A3E" w:rsidRDefault="00000000">
            <w:pPr>
              <w:spacing w:after="0"/>
            </w:pPr>
            <w:r>
              <w:rPr>
                <w:b/>
                <w:color w:val="FFFFFF"/>
                <w:sz w:val="19"/>
              </w:rPr>
              <w:t>Prepared by: CodeX Team    Version: 1.24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M19</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1.24</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2.115</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r>
              <w:t xml:space="preserve"> The statutory pack gives the position date, income window, cash-flow window and equity window as four heading strings. CSV, XLSX and PDF repeat them verbatim and include the cash-flow and equity summary amounts that JSON returns. Its existing finance.report.view and whole-school reach checks apply to both response and files.</w:t>
            </w:r>
            <w:r>
              <w:t xml:space="preserve"> The report resource registers seventeen read-only sections. JSON and CSV, XLSX and PDF exports omit closed sections. Income, balance sheet and cash flow can return safe partial statements; trial balance, equity, analysis and reconciliation refuse access when their only section is closed. A statutory pack requires every included section.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r>
              <w:t xml:space="preserve"> FinanceAPITests checks fiscal-year and chosen-month headings and their exact strings and companion summaries in CSV, XLSX and PDF. BranchReportEndpointTests proves the branch-bound refusal; CashFlowDefaultWindowEndpointTests proves a reader at a one-branch school can open the pack.</w:t>
            </w:r>
            <w:r>
              <w:t xml:space="preserve"> A hidden statement section has no values in JSON or export. A closed required section refuses the statutory pack with 403. tests_budget_report_field_access covers the alternate formats and partial statements.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r>
              <w:t xml:space="preserve"> Eight budget fields now govern names, year, status, approval date, line coordinates, sensitive planned amount, ledger actual and derived variance. Create, rename and line endpoints enforce writes; list, detail, variance, heatmap, roll-up and dashboard restatements enforce reads.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r>
              <w:t xml:space="preserve"> A reader without planned-amount Read sees no line amount, planned total, heatmap cell or derived ratio; one without Write cannot create or replace amount-bearing lines. tests_budget_report_field_access covers the default-closed and granted paths.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pStyle w:val="Heading2"/>
        <w:keepNext/>
        <w:pBdr>
          <w:bottom w:val="single" w:sz="8" w:space="5" w:color="355B9D"/>
        </w:pBdr>
      </w:pPr>
      <w:r>
        <w:t xml:space="preserve">FR-025  Register Schools in CodeX Platform Books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Each school sold a subscription must have exactly one source-linked customer in CodeX's platform LedgerEntity, distinct from the set of books that the school itself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register_platform_customer resolves the reserved platform LedgerEntity and upserts Customer by entity, source_type vs_schools.School and source_id. It copies the school's name, billing email, phone, address and active state. Creation treats this write as mandatory. School post-save synchronization updates an existing linked customer when those source details or status change. A fresh finance installation may register the customer before its receivable mapping exists; invoice posting still fails closed until Finance is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Creating Bright Star produces one Bright Star customer in CodeX's books and does not place that customer in Bright Star's own books. Retrying synchronization does not duplicate it. Changing the school's billing contact updates that customer. Taking the school out of service makes the customer inactive. If the platform entity is absent, school creation is refused and rolled 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platform chart and accounts-receivable mapping remain deployment prerequisites for issuing the later subscription invoice.</w:t>
            </w:r>
          </w:p>
        </w:tc>
      </w:tr>
    </w:tbl>
    <w:p w:rsidR="00A62A3E" w:rsidRDefault="00000000">
      <w:pPr>
        <w:pStyle w:val="Heading2"/>
        <w:keepNext/>
        <w:pBdr>
          <w:bottom w:val="single" w:sz="8" w:space="5" w:color="355B9D"/>
        </w:pBdr>
      </w:pPr>
      <w:r>
        <w:t>FR-026  Reconcile Payroll, Budgets, Bank Imports, Claims, and Human Labels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FR-026  Reconcile Payroll, Budgets, Bank Imports, Claims, and Human Labels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Keep the current finance contracts for payroll documents, directional budget totals, bank-statement entry, expense claimants, and human-readable person labels in one reconciled requirement.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Existing payslip, report, bank-account import, expense-claim, audit, and dashboard keys remain. finance.expenseclaim.claimant adds Read and Write Field Access over claimant_id, claimant_name, and claimant; it is open by default and not open on create.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A bank import starts from an account resolved inside tenant, entity, and branch reach. A claimant id resolves through the payroll person resolver inside the entity's tenant. Budget headlines count the direction the plan budgets, while rows of the other direction remain visible without changing the headline.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redesigned payslip and tax summary use WeasyPrint with the ReportLab fallback described by Module 12. A spending plan totals spending; an income-only plan totals income. Expense claims accept claimant as an account id and copy claimant_name; when no person is supplied a typed claimant_name is required. Unknown, malformed, foreign, and non-staff ids share one 400 refusal. Migration 0076 links no old claim, so its typed name remains. Claimant Field Access reaches searches, both exports, approval cards, and the spending dashboard; older frozen approval cards keep their saved name. Human labels use first and last names and fall back to email only for an unnamed account. Finance audit carries actor_name beside actor email and orders filter options by name.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An unbudgeted fee-income row remains in a spending report but does not inflate actual spending or the consumed share. A claim can select a current employee and rejects another school's account without revealing it. Hiding claimant removes it from every alternate read and blocks writes. A finance audit distinguishes two Ada Okafors by retaining their emails. Tests: vs_finance.tests_payslip_document, vs_finance.tests, vs_finance.test_statement_import_wizard, vs_finance.tests_expense_claim_claimant, vs_finance.tests_field_access_deep_payload, and vs_finance.tests_people_named.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Older expense claims remain typed names because the migration deliberately guesses no identity. ReportLab remains a fallback where the HTML renderer's native libraries are unavailable.</w:t>
            </w:r>
          </w:p>
        </w:tc>
      </w:tr>
    </w:tbl>
    <w:p w:rsidR="00A62A3E" w:rsidRDefault="00000000">
      <w:pPr>
        <w:pStyle w:val="Heading2"/>
        <w:keepNext/>
        <w:pBdr>
          <w:bottom w:val="single" w:sz="8" w:space="5" w:color="355B9D"/>
        </w:pBdr>
      </w:pPr>
      <w:r>
        <w:t>FR-027  Guide the Chart, Gate Hand Journals, and Settle Receivables Clearly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FR-027  Guide the Chart, Gate Hand Journals, and Settle Receivables Clearly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Explain the chart of accounts, separate school-managed and system-managed rows, allocate safe codes, route hand journals explicitly, and keep payroll, receivable, and held-credit totals truthful.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Chart guide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Every default account has a one-line purpose back-filled only where description is blank. The chart shows code, name, and tags; detail exposes readable description from an info icon. Every account read carries managed_by or null. Zero-balance managed accounts fold under Managed by the system; a readable nonzero balance moves the row into the main chart. A hidden balance is treated as zero, and hidden managed_by produces the single chart.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Account creation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POST /finance/accounts/ may take account_type without code and allocates ten above the highest free code for that type, skipping every default and mapping-reserved code. The next-code preview and suggestions routes require finance.account.create. Generic suggestions come from finance and school suggestions from the FAL. Choosing a reserved code names the kept system account and the next free code, including on bank and petty-cash splits.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Journal approval</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Each school owns a finance.journal route with no steps until configured. A direct or human-posted draft journal answers APPROVAL_NOT_CONFIGURED until explicitly confirmed without approval; once steps exist it posts only after workflow approval. Journals raised by invoices, receipts, and payroll remain governed by their source.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Payroll and balances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 draft payslip includes its own line once in YTD; other runs count only when posted or paid. Budget headlines count the plan's one direction. Owing and credit remain separate. Receipt account balance uses owing, in credit, or zero wording without a sign convention.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Held credit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At the same branch and under auto_apply_customer_credit, receipt credit settles a newly posted debit note and eligible held credit settles only bills reopened by voiding a receipt, credit note, concession, refund, or credit transfer. Credit-note credit never settles a debit note. A closed period skips the pairing without blocking the void. Receivable-move voids are excluded.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Field Access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finance.account.managed_by and ifrs_line apply end to end; claimant and pay figures remain as documented; virtual-account values on staff invoices use the payments resource. The refund bank_account request name is Write-only under its existing switch.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Credit held at another branch deliberately remains beside the bill. Invoice posting still fails if held credit cannot be applied in a closed period; voiding does not. The real family-transfer flow remains unproved on staging.</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four statements as one filing pack, for a whole-school reader only. JSON headings name each statement window; CSV, XLSX and PDF repeat those strings and include the cash-flow and equity summaries.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accounting contracts below. Historical WHT, gross settlement and unbranched tax gaps are superseded by the current correction, clearing and branch rules.</w:t>
      </w:r>
    </w:p>
    <w:p>
      <w:pPr>
        <w:pStyle w:val="Heading2"/>
      </w:pPr>
      <w:r>
        <w:t>Accounting and Reach Contracts</w:t>
      </w:r>
    </w:p>
    <w:p>
      <w:pPr/>
      <w:r>
        <w:t>These are current backend rules for document posting, branch reach and reporting.</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Finance and Branch Contracts</w:t>
      </w:r>
    </w:p>
    <w:p>
      <w:pPr>
        <w:keepLines/>
      </w:pPr>
      <w:r>
        <w:t>These are current backend rules. Local frontend integration and deployment are evidenced separately.</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r>
        <w:t xml:space="preserve"> The statutory-pack JSON and files share four statement headings; the files include both companion summaries rather than stopping after income.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Finance resources now have explicit Field Access coverage for customers, dashboard cards, periods, years, closed figures, bank records, payer records, deposits, deferred income, provisions and petty-cash returns.</w:t>
      </w:r>
      <w:r>
        <w:t xml:space="preserve"> Budgets and financial statements also have explicit field decisions. Planned amounts start closed; report sections start open. Derived comparisons require every source figure they reveal.</w:t>
      </w:r>
    </w:p>
    <w:p>
      <w:pPr>
        <w:spacing w:after="60"/>
      </w:pPr>
      <w:r>
        <w:t>• Terminal receipts post Dr gateway clearing and Cr Unidentified receipts at the terminal branch. Confirmed held-custody refunds reverse through gateway clearing.</w:t>
      </w:r>
    </w:p>
    <w:p>
      <w:pPr>
        <w:spacing w:after="60"/>
      </w:pPr>
      <w:r>
        <w:t>• Payroll runs follow draft, submit, approval, post and pay. Payment route is tenant-configured as bank or Paystack, and posted legacy runs may be recorded as bank-paid only.</w:t>
      </w:r>
    </w:p>
    <w:p>
      <w:pPr>
        <w:spacing w:after="60"/>
      </w:pPr>
      <w:r>
        <w:t>• Staff bank accounts are created and edited by separate routes, verified by Paystack name lookup, and require a second person when the resolved name differs. POST cannot overwrite an existing account.</w:t>
      </w:r>
    </w:p>
    <w:p>
      <w:pPr>
        <w:spacing w:after="60"/>
      </w:pPr>
      <w:r>
        <w:t>• Closed-figure wording is human-readable while stable keys and stored response fields remain unchanged.</w:t>
      </w:r>
    </w:p>
    <w:p>
      <w:pPr>
        <w:pStyle w:val="Heading1"/>
        <w:keepNext/>
        <w:pBdr>
          <w:bottom w:val="single" w:sz="14" w:space="5" w:color="355B9D"/>
        </w:pBdr>
      </w:pPr>
      <w:r>
        <w:t>Current Contracts at 19 October 2026</w:t>
      </w:r>
    </w:p>
    <w:p>
      <w:r>
        <w:t>Finance lists use one shared branch and period contract. Documents are placed by their governing document date and a fiscal year is the books’ own year. The period is combined with branch reach and all other filters. Dates protected by Field Access refuse a period filter when unreadable and allow it when read-only.</w:t>
      </w:r>
    </w:p>
    <w:p>
      <w:r>
        <w:t>Screen exports narrow to the list’s branch and period and never widen them. With no period they omit archived years as the list does, unless the list explicitly includes them. An open date end is closed against the first and last documents the file keeps, and the review sentence states the effective scope.</w:t>
      </w:r>
    </w:p>
    <w:p>
      <w:r>
        <w:t>A receipt freezes its invoice and customer balance after posting. The invoice-posted signal fires once after commit, never on rollback, and lets the school FAL request a pupil transfer account without placing provider work inside the posting transaction.</w:t>
      </w:r>
    </w:p>
    <w:p>
      <w:r>
        <w:t>Every Finance setting value has its own Read and Write switch. The fee collection account continues to follow bank-account controls and the statutory retention floor remains a CodeX control without a tenant switch.</w:t>
      </w:r>
    </w:p>
    <w:p>
      <w:pPr>
        <w:pStyle w:val="Heading1"/>
      </w:pPr>
      <w:r>
        <w:t>Current Contracts at 24 October 2026</w:t>
      </w:r>
    </w:p>
    <w:p>
      <w:pPr/>
      <w:r>
        <w:t>The chart, cost centres, journals and finance setup lists enforce their registered fields on detail, creation and correction paths. One journal-line switch covers account, dimensions, debit, credit and description. Journal exports apply the same controls to columns, account filters and narration or reference search.</w:t>
      </w:r>
    </w:p>
    <w:p>
      <w:pPr/>
      <w:r>
        <w:t>Bank statement dates, lines, match state, adjustment details and reconciliation history have separate controls. Customer source references and bank statement balances are sensitive. A statement balance is writable through its own switch but readable only when the account statement balance is readable. A correction without a submitted opening balance preserves the stored value.</w:t>
      </w:r>
    </w:p>
    <w:p>
      <w:pPr>
        <w:pStyle w:val="Heading2"/>
      </w:pPr>
      <w:r>
        <w:t>Current Field Access Contract at 25 October 2026</w:t>
      </w:r>
    </w:p>
    <w:p>
      <w:r>
        <w:t>The AP reconciliation served by Procurement has a read-only finance.report.ap_reconciliation switch. Subledger total, control total, difference and reconciliation verdict disappear together when a role cannot read that switch. Other finance report fields keep their existing controls; no new posting or ledger rule is implied.</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v2.115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r>
        <w:tc>
          <w:tcPr>
            <w:tcW w:type="dxa" w:w="6000"/>
          </w:tcPr>
          <w:p>
            <w:r>
              <w:t>Source-linked school customers in CodeX platform books</w:t>
            </w:r>
          </w:p>
        </w:tc>
        <w:tc>
          <w:tcPr>
            <w:tcW w:type="dxa" w:w="4468"/>
          </w:tcPr>
          <w:p>
            <w:r>
              <w:t>FR-025</w:t>
            </w:r>
          </w:p>
        </w:tc>
      </w:tr>
      <w:tr>
        <w:tc>
          <w:tcPr>
            <w:tcW w:type="dxa" w:w="6000"/>
          </w:tcPr>
          <w:p>
            <w:r>
              <w:t>Chart guidance, hand journals, and held credit</w:t>
            </w:r>
          </w:p>
        </w:tc>
        <w:tc>
          <w:tcPr>
            <w:tcW w:type="dxa" w:w="4468"/>
          </w:tcPr>
          <w:p>
            <w:r>
              <w:t>FR-027</w:t>
            </w:r>
          </w:p>
        </w:tc>
      </w:tr>
    </w:tbl>
    <w:p w:rsidR="00A62A3E" w:rsidRDefault="00000000">
      <w:pPr>
        <w:keepLines/>
        <w:spacing w:after="120"/>
      </w:pPr>
      <w:r>
        <w:t>All 26 entries are traced above. Module number, name, phase, backend and in-use states and code ownership agree with MRD v2.114,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tc>
          <w:tcPr>
            <w:tcW w:type="dxa" w:w="1200"/>
          </w:tcPr>
          <w:p>
            <w:r>
              <w:t>1.24</w:t>
            </w:r>
          </w:p>
        </w:tc>
        <w:tc>
          <w:tcPr>
            <w:tcW w:type="dxa" w:w="1600"/>
          </w:tcPr>
          <w:p>
            <w:r>
              <w:t>26 October 2026</w:t>
            </w:r>
          </w:p>
        </w:tc>
        <w:tc>
          <w:tcPr>
            <w:tcW w:type="dxa" w:w="7668"/>
          </w:tcPr>
          <w:p>
            <w:r>
              <w:t>Reconciles chart guidance, managed accounts, code allocation, hand-journal approval, YTD, held credit, and receipt balances. Aligns with MRD v2.115.</w:t>
            </w:r>
          </w:p>
        </w:tc>
      </w:tr>
      <w:tr>
        <w:tc>
          <w:tcPr>
            <w:tcW w:type="dxa" w:w="1200"/>
          </w:tcPr>
          <w:p>
            <w:r>
              <w:t>1.23</w:t>
            </w:r>
          </w:p>
        </w:tc>
        <w:tc>
          <w:tcPr>
            <w:tcW w:type="dxa" w:w="1600"/>
          </w:tcPr>
          <w:p>
            <w:r>
              <w:t>25 October 2026</w:t>
            </w:r>
          </w:p>
        </w:tc>
        <w:tc>
          <w:tcPr>
            <w:tcW w:type="dxa" w:w="7668"/>
          </w:tcPr>
          <w:p>
            <w:r>
              <w:t>Records the Area C Field Access contract for the module and aligns traceability with MRD v2.114. Backend and local frontend evidence only.</w:t>
            </w:r>
          </w:p>
        </w:tc>
      </w:tr>
      <w:tr>
        <w:tc>
          <w:tcPr>
            <w:tcW w:type="dxa" w:w="1200"/>
          </w:tcPr>
          <w:p>
            <w:r>
              <w:t>1.22</w:t>
            </w:r>
          </w:p>
        </w:tc>
        <w:tc>
          <w:tcPr>
            <w:tcW w:type="dxa" w:w="1600"/>
          </w:tcPr>
          <w:p>
            <w:r>
              <w:t>24 October 2026</w:t>
            </w:r>
          </w:p>
        </w:tc>
        <w:tc>
          <w:tcPr>
            <w:tcW w:type="dxa" w:w="7668"/>
          </w:tcPr>
          <w:p>
            <w:r>
              <w:t>Accounts, journals, setup values and bank statement and reconciliation fields gain explicit Field Access on reads and writes. Statement balances are sensitive and also require the account balance switch to read. Aligns with MRD v2.113.</w:t>
            </w:r>
          </w:p>
        </w:tc>
      </w:tr>
      <w:tr>
        <w:tc>
          <w:tcPr>
            <w:tcW w:type="dxa" w:w="1200"/>
          </w:tcPr>
          <w:p>
            <w:r>
              <w:t>1.21</w:t>
            </w:r>
          </w:p>
        </w:tc>
        <w:tc>
          <w:tcPr>
            <w:tcW w:type="dxa" w:w="1600"/>
          </w:tcPr>
          <w:p>
            <w:r>
              <w:t>23 October 2026</w:t>
            </w:r>
          </w:p>
        </w:tc>
        <w:tc>
          <w:tcPr>
            <w:tcW w:type="dxa" w:w="7668"/>
          </w:tcPr>
          <w:p>
            <w:r>
              <w:t>Adds budget and financial-statement Field Access contracts, including sensitive planned amounts, separate statement sections, safe partial reports, export parity and statutory-pack refusal. Aligns with MRD v2.112. Backend and local frontend evidence only.</w:t>
            </w:r>
          </w:p>
        </w:tc>
      </w:tr>
      <w:tr>
        <w:tc>
          <w:tcPr>
            <w:tcW w:type="dxa" w:w="1200"/>
          </w:tcPr>
          <w:p>
            <w:r>
              <w:t>1.20</w:t>
            </w:r>
          </w:p>
        </w:tc>
        <w:tc>
          <w:tcPr>
            <w:tcW w:type="dxa" w:w="1600"/>
          </w:tcPr>
          <w:p>
            <w:r>
              <w:t>23 October 2026</w:t>
            </w:r>
          </w:p>
        </w:tc>
        <w:tc>
          <w:tcPr>
            <w:tcW w:type="dxa" w:w="7668"/>
          </w:tcPr>
          <w:p>
            <w:r>
              <w:t>Reconciles payroll documents, directional budget totals, bank-statement entry, expense claimants, claimant Field Access, and human labels. Aligns with MRD v2.111.</w:t>
            </w:r>
          </w:p>
        </w:tc>
      </w:tr>
      <w:tr>
        <w:tc>
          <w:tcPr>
            <w:tcW w:type="dxa" w:w="1200"/>
          </w:tcPr>
          <w:p>
            <w:r>
              <w:t>1.19</w:t>
            </w:r>
          </w:p>
        </w:tc>
        <w:tc>
          <w:tcPr>
            <w:tcW w:type="dxa" w:w="1600"/>
          </w:tcPr>
          <w:p>
            <w:r>
              <w:t>19 October 2026</w:t>
            </w:r>
          </w:p>
        </w:tc>
        <w:tc>
          <w:tcPr>
            <w:tcW w:type="dxa" w:w="7668"/>
          </w:tcPr>
          <w:p>
            <w:r>
              <w:t>Adds shared list and export scope, invoice-posted signaling, frozen receipt balances and complete settings access control.</w:t>
            </w:r>
          </w:p>
        </w:tc>
      </w:tr>
      <w:tr>
        <w:tc>
          <w:tcPr>
            <w:tcW w:type="dxa" w:w="1200"/>
          </w:tcPr>
          <w:p>
            <w:r>
              <w:t>1.18</w:t>
            </w:r>
          </w:p>
        </w:tc>
        <w:tc>
          <w:tcPr>
            <w:tcW w:type="dxa" w:w="1600"/>
          </w:tcPr>
          <w:p>
            <w:r>
              <w:t>14 October 2026</w:t>
            </w:r>
          </w:p>
        </w:tc>
        <w:tc>
          <w:tcPr>
            <w:tcW w:type="dxa" w:w="7668"/>
          </w:tcPr>
          <w:p>
            <w:r>
              <w:t>Reconciles the queued platform, Field Access, search and product contracts through 850e5b45 (14 October 2026). Aligns with MRD v2.106. Backend evidence only; no deployment claim.</w:t>
            </w:r>
          </w:p>
        </w:tc>
      </w:tr>
      <w:tr>
        <w:tc>
          <w:tcPr>
            <w:tcW w:type="dxa" w:w="1200"/>
          </w:tcPr>
          <w:p>
            <w:r>
              <w:t>1.17</w:t>
            </w:r>
          </w:p>
        </w:tc>
        <w:tc>
          <w:tcPr>
            <w:tcW w:type="dxa" w:w="1600"/>
          </w:tcPr>
          <w:p>
            <w:r>
              <w:t>10 October 2026</w:t>
            </w:r>
          </w:p>
        </w:tc>
        <w:tc>
          <w:tcPr>
            <w:tcW w:type="dxa" w:w="7668"/>
          </w:tcPr>
          <w:p>
            <w:r>
              <w:t>Adds FR-025 for atomic, source-linked school customer registration in CodeX's platform books and later contact and status synchronization. The platform receivable mapping remains an invoice-posting prerequisite.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Defines the four statutory-pack window headings in JSON and CSV, XLSX and PDF, and includes cash-flow and equity summaries in each file. finance.report.view and the whole-school reach refusal are unchanged. Aligns FR-006, the reporting API and MRD v2.101.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v1.24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v1.24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1.24</cp:version>
</cp:coreProperties>
</file>