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 DOCUMENT</w:t>
              <w:br/>
              <w:t>XVision Systems - School Management System</w:t>
              <w:br/>
              <w:br/>
              <w:t>Prepared by: CodeX Team</w:t>
              <w:br/>
              <w:t>Version: 2.42</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2.42</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29 August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Backend worktree with sustained, service-scoped Health alert evaluation, email and in-app operator delivery, UUID-backed incident references, and 37 passing Module 30 plus 107 passing Module 8 tests (29 August 2026)</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484</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integration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after="0" w:before="0" w:line="240" w:lineRule="auto"/>
              <w:jc w:val="left"/>
            </w:pPr>
            <w:r>
              <w:rPr>
                <w:rFonts w:ascii="Aptos Narrow" w:hAnsi="Aptos Narrow"/>
                <w:b/>
                <w:color w:val="355B9D"/>
                <w:sz w:val="18"/>
              </w:rPr>
              <w:t>5. v2.42 Documentation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Health alerts now reach operators after a sustained service breach</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implementation from integration readiness.</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current worktree contains the main models, services, and endpoints for the stated scope.</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Useful backend capability exists, but an essential control, workflow, or defect remains.</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mounted backend domain module was found for the stated capability.</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Integration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The backend capability is wired to its current internal consumers within the inspected scope.</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Integration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The backend exists, but a dependency, tenant or branch connection, or operational control remains.</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Integration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The dependent domain or portal does not yet have a mounted backend implementation.</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vs_admin_console, vs_user, vs_rbac, vs_audit, vs_config, vs_notifications, vs_import_data, vs_workflow, vs_finance, vs_procurement, vs_payments, vs_exports, vs_todo, vs_tickets, and vs_health. The schools product carries vs_schools and vs_onboarding under apps/schools/.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Integration</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250262E0" w14:textId="77777777" w:rsidR="00472341" w:rsidRDefault="00000000">
            <w:pPr>
              <w:spacing w:after="0"/>
              <w:jc w:val="center"/>
            </w:pPr>
            <w:r>
              <w:rPr>
                <w:color w:val="000000"/>
                <w:sz w:val="14"/>
              </w:rPr>
              <w:t>17</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98E5DA1" w14:textId="77777777" w:rsidR="00472341" w:rsidRDefault="00000000">
            <w:pPr>
              <w:spacing w:after="0"/>
              <w:jc w:val="center"/>
            </w:pPr>
            <w:r>
              <w:rPr>
                <w:color w:val="000000"/>
                <w:sz w:val="14"/>
              </w:rPr>
              <w:t>13</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58D45273"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646BED54"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B7C8A68" w14:textId="77777777" w:rsidR="00472341" w:rsidRDefault="00000000">
            <w:pPr>
              <w:spacing w:after="0"/>
              <w:jc w:val="center"/>
            </w:pPr>
            <w:r>
              <w:rPr>
                <w:color w:val="000000"/>
                <w:sz w:val="14"/>
              </w:rPr>
              <w:t>16</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F79AF1"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4E5FBCB" w14:textId="77777777" w:rsidR="00472341" w:rsidRDefault="00000000">
            <w:pPr>
              <w:spacing w:after="0"/>
              <w:jc w:val="center"/>
            </w:pPr>
            <w:r>
              <w:rPr>
                <w:color w:val="000000"/>
                <w:sz w:val="14"/>
              </w:rPr>
              <w:t xml:space="preserve">17</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EE30883"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07FFE211" w14:textId="77777777" w:rsidR="00472341" w:rsidRDefault="00000000">
            <w:pPr>
              <w:spacing w:after="0"/>
              <w:jc w:val="center"/>
            </w:pPr>
            <w:r>
              <w:rPr>
                <w:color w:val="000000"/>
                <w:sz w:val="14"/>
              </w:rPr>
              <w:t xml:space="preserve">13</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54C1570"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E3248C" w14:textId="77777777" w:rsidR="00472341" w:rsidRDefault="00000000">
            <w:pPr>
              <w:spacing w:after="0"/>
              <w:jc w:val="center"/>
            </w:pPr>
            <w:r>
              <w:rPr>
                <w:color w:val="000000"/>
                <w:sz w:val="14"/>
              </w:rPr>
              <w:t>20</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22A35A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FD1799B" w14:textId="77777777" w:rsidR="00472341" w:rsidRDefault="00000000">
            <w:pPr>
              <w:spacing w:after="0"/>
              <w:jc w:val="center"/>
            </w:pPr>
            <w:r>
              <w:rPr>
                <w:color w:val="000000"/>
                <w:sz w:val="14"/>
              </w:rPr>
              <w:t>25</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C81816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449A1B6" w14:textId="77777777" w:rsidR="00472341" w:rsidRDefault="00000000">
            <w:pPr>
              <w:spacing w:after="0"/>
              <w:jc w:val="center"/>
            </w:pPr>
            <w:r>
              <w:rPr>
                <w:color w:val="000000"/>
                <w:sz w:val="14"/>
              </w:rPr>
              <w:t>22</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3EAC7E6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1F0BB0F" w14:textId="77777777" w:rsidR="00472341" w:rsidRDefault="00000000">
            <w:pPr>
              <w:spacing w:after="0"/>
              <w:jc w:val="center"/>
            </w:pPr>
            <w:r>
              <w:rPr>
                <w:color w:val="000000"/>
                <w:sz w:val="14"/>
              </w:rPr>
              <w:t xml:space="preserve">20</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4CC961B"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1115EA63" w14:textId="77777777" w:rsidR="00472341" w:rsidRDefault="00000000">
            <w:pPr>
              <w:spacing w:after="0"/>
              <w:jc w:val="center"/>
            </w:pPr>
            <w:r>
              <w:rPr>
                <w:color w:val="000000"/>
                <w:sz w:val="14"/>
              </w:rPr>
              <w:t>15</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C9BEE3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50E82E1"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8BFD5D7" w14:textId="77777777" w:rsidR="00472341" w:rsidRDefault="00000000">
            <w:pPr>
              <w:spacing w:after="0"/>
              <w:jc w:val="center"/>
            </w:pPr>
            <w:r>
              <w:rPr>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1BDEB35"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DF4FEDC"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7AE21702" w14:textId="77777777" w:rsidR="00472341" w:rsidRDefault="00000000">
            <w:pPr>
              <w:spacing w:after="0"/>
              <w:jc w:val="center"/>
            </w:pPr>
            <w:r>
              <w:rPr>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7FAA8B8A" w14:textId="77777777" w:rsidR="00472341" w:rsidRDefault="00000000">
            <w:pPr>
              <w:spacing w:after="0"/>
              <w:jc w:val="center"/>
            </w:pPr>
            <w:r>
              <w:rPr>
                <w:color w:val="000000"/>
                <w:sz w:val="14"/>
              </w:rPr>
              <w:t>Partial</w:t>
            </w:r>
          </w:p>
        </w:tc>
        <w:tc>
          <w:tcPr>
            <w:tcW w:w="1238" w:type="dxa"/>
            <w:shd w:val="clear" w:color="auto" w:fill="ECEFF3"/>
            <w:tcMar>
              <w:top w:w="70" w:type="dxa"/>
              <w:left w:w="90" w:type="dxa"/>
              <w:bottom w:w="70" w:type="dxa"/>
              <w:right w:w="90" w:type="dxa"/>
            </w:tcMar>
            <w:vAlign w:val="center"/>
          </w:tcPr>
          <w:p w14:paraId="4CB8289D"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4FFAF610" w14:textId="77777777" w:rsidR="00472341" w:rsidRDefault="00000000">
            <w:pPr>
              <w:spacing w:after="0"/>
              <w:jc w:val="center"/>
            </w:pPr>
            <w:r>
              <w:rPr>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A380BEA" w14:textId="77777777" w:rsidR="00472341" w:rsidRDefault="00000000">
            <w:pPr>
              <w:spacing w:after="0"/>
              <w:jc w:val="center"/>
            </w:pPr>
            <w:r>
              <w:rPr>
                <w:color w:val="000000"/>
                <w:sz w:val="14"/>
              </w:rPr>
              <w:t>Complete</w:t>
            </w:r>
          </w:p>
        </w:tc>
        <w:tc>
          <w:tcPr>
            <w:tcW w:w="1238" w:type="dxa"/>
            <w:shd w:val="clear" w:color="auto" w:fill="ECEFF3"/>
            <w:tcMar>
              <w:top w:w="70" w:type="dxa"/>
              <w:left w:w="90" w:type="dxa"/>
              <w:bottom w:w="70" w:type="dxa"/>
              <w:right w:w="90" w:type="dxa"/>
            </w:tcMar>
            <w:vAlign w:val="center"/>
          </w:tcPr>
          <w:p w14:paraId="732DE14D"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2294A3F" w14:textId="77777777" w:rsidR="00472341" w:rsidRDefault="00000000">
            <w:pPr>
              <w:spacing w:after="0"/>
              <w:jc w:val="center"/>
            </w:pPr>
            <w:r>
              <w:rPr>
                <w:color w:val="000000"/>
                <w:sz w:val="14"/>
              </w:rPr>
              <w:t>12</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3CE9CD4"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54C98F2" w14:textId="77777777" w:rsidR="00472341" w:rsidRDefault="00000000">
            <w:pPr>
              <w:spacing w:after="0"/>
              <w:jc w:val="center"/>
            </w:pPr>
            <w:r>
              <w:rPr>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D180032"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7E2BE51" w14:textId="77777777" w:rsidR="00472341" w:rsidRDefault="00000000">
            <w:pPr>
              <w:spacing w:after="0"/>
              <w:jc w:val="center"/>
            </w:pPr>
            <w:r>
              <w:rPr>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C891CDF"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2581D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0F3AF83" w14:textId="77777777" w:rsidR="00472341" w:rsidRDefault="00000000">
            <w:pPr>
              <w:spacing w:after="0"/>
              <w:jc w:val="center"/>
            </w:pPr>
            <w:r>
              <w:rPr>
                <w:color w:val="000000"/>
                <w:sz w:val="14"/>
              </w:rPr>
              <w:t>14</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11AFA7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02994902" w14:textId="77777777" w:rsidR="00472341" w:rsidRDefault="00000000">
            <w:pPr>
              <w:spacing w:after="0"/>
              <w:jc w:val="center"/>
            </w:pPr>
            <w:r>
              <w:rPr>
                <w:color w:val="000000"/>
                <w:sz w:val="14"/>
              </w:rPr>
              <w:t>21</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003C0C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26DA8E9" w14:textId="77777777" w:rsidR="00472341" w:rsidRDefault="00000000">
            <w:pPr>
              <w:spacing w:after="0"/>
              <w:jc w:val="center"/>
            </w:pPr>
            <w:r>
              <w:rPr>
                <w:color w:val="000000"/>
                <w:sz w:val="14"/>
              </w:rPr>
              <w:t>24</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987034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5764FAA4" w14:textId="77777777" w:rsidR="00472341" w:rsidRDefault="00000000">
            <w:pPr>
              <w:spacing w:after="0"/>
              <w:jc w:val="center"/>
            </w:pPr>
            <w:r>
              <w:rPr>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D98D489"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B1E568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5EB28D7" w14:textId="77777777" w:rsidR="00472341" w:rsidRDefault="00000000">
            <w:pPr>
              <w:spacing w:after="0"/>
              <w:jc w:val="center"/>
            </w:pPr>
            <w:r>
              <w:rPr>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7BC5F4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009F3AD3"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77A06DF1" w14:textId="77777777" w:rsidR="00472341" w:rsidRDefault="00000000">
            <w:pPr>
              <w:spacing w:after="0"/>
              <w:jc w:val="center"/>
            </w:pPr>
            <w:r>
              <w:rPr>
                <w:color w:val="000000"/>
                <w:sz w:val="14"/>
              </w:rPr>
              <w:t>13</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ABF0F5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6EBBAB2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0A20CBA" w14:textId="77777777" w:rsidR="00472341" w:rsidRDefault="00000000">
            <w:pPr>
              <w:spacing w:after="0"/>
              <w:jc w:val="center"/>
            </w:pPr>
            <w:r>
              <w:rPr>
                <w:color w:val="000000"/>
                <w:sz w:val="14"/>
              </w:rPr>
              <w:t>19</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62384A"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164C8B"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49834C48" w14:textId="77777777" w:rsidR="00472341" w:rsidRDefault="00000000">
            <w:pPr>
              <w:spacing w:after="0"/>
              <w:jc w:val="center"/>
            </w:pPr>
            <w:r>
              <w:rPr>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0D55BA45"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2CD78E8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6483CA5A" w14:textId="77777777" w:rsidR="00472341" w:rsidRDefault="00000000">
            <w:pPr>
              <w:spacing w:after="0"/>
              <w:jc w:val="center"/>
            </w:pPr>
            <w:r>
              <w:rPr>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C20E4E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0330A3BA" w14:textId="77777777" w:rsidR="00472341" w:rsidRDefault="00000000">
            <w:pPr>
              <w:spacing w:after="0"/>
              <w:jc w:val="center"/>
            </w:pPr>
            <w:r>
              <w:rPr>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F277CDE"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109694FA" w14:textId="77777777" w:rsidR="00472341" w:rsidRDefault="00000000">
            <w:pPr>
              <w:spacing w:after="0"/>
              <w:jc w:val="center"/>
            </w:pPr>
            <w:r>
              <w:rPr>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2C123B1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6C6FC9A4" w14:textId="77777777" w:rsidR="00472341" w:rsidRDefault="00000000">
            <w:pPr>
              <w:spacing w:after="0"/>
              <w:jc w:val="center"/>
            </w:pPr>
            <w:r>
              <w:rPr>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62C7D0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5FC88FC9" w14:textId="77777777" w:rsidR="00472341" w:rsidRDefault="00000000">
            <w:pPr>
              <w:spacing w:after="0"/>
              <w:jc w:val="center"/>
            </w:pPr>
            <w:r>
              <w:rPr>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13</w:t>
            </w:r>
          </w:p>
        </w:tc>
      </w:tr>
      <w:tr w:rsidR="00472341" w14:paraId="62D0B717" w14:textId="77777777">
        <w:trPr>
          <w:cantSplit/>
          <w:jc w:val="center"/>
        </w:trPr>
        <w:tc>
          <w:tcPr>
            <w:tcW w:w="490" w:type="dxa"/>
            <w:shd w:val="clear" w:color="auto" w:fill="FFFFFF"/>
            <w:tcMar>
              <w:top w:w="70" w:type="dxa"/>
              <w:left w:w="90" w:type="dxa"/>
              <w:bottom w:w="70" w:type="dxa"/>
              <w:right w:w="90" w:type="dxa"/>
            </w:tcMar>
            <w:vAlign w:val="center"/>
          </w:tcPr>
          <w:p w14:paraId="662ADEB1" w14:textId="77777777" w:rsidR="00472341" w:rsidRDefault="00000000">
            <w:pPr>
              <w:spacing w:after="0"/>
              <w:jc w:val="center"/>
            </w:pPr>
            <w:r>
              <w:t>31</w:t>
            </w:r>
          </w:p>
        </w:tc>
        <w:tc>
          <w:tcPr>
            <w:tcW w:w="3485" w:type="dxa"/>
            <w:shd w:val="clear" w:color="auto" w:fill="FFFFFF"/>
            <w:tcMar>
              <w:top w:w="70" w:type="dxa"/>
              <w:left w:w="90" w:type="dxa"/>
              <w:bottom w:w="70" w:type="dxa"/>
              <w:right w:w="90" w:type="dxa"/>
            </w:tcMar>
            <w:vAlign w:val="center"/>
          </w:tcPr>
          <w:p w14:paraId="15AE0A57" w14:textId="77777777" w:rsidR="00472341" w:rsidRDefault="00000000">
            <w:pPr>
              <w:spacing w:after="0"/>
            </w:pPr>
            <w:r>
              <w:t>Support Tickets</w:t>
            </w:r>
          </w:p>
        </w:tc>
        <w:tc>
          <w:tcPr>
            <w:tcW w:w="662" w:type="dxa"/>
            <w:shd w:val="clear" w:color="auto" w:fill="FFFFFF"/>
            <w:tcMar>
              <w:top w:w="70" w:type="dxa"/>
              <w:left w:w="90" w:type="dxa"/>
              <w:bottom w:w="70" w:type="dxa"/>
              <w:right w:w="90" w:type="dxa"/>
            </w:tcMar>
            <w:vAlign w:val="center"/>
          </w:tcPr>
          <w:p w14:paraId="50CF5D82" w14:textId="77777777" w:rsidR="00472341" w:rsidRDefault="00000000">
            <w:pPr>
              <w:spacing w:after="0"/>
              <w:jc w:val="center"/>
            </w:pPr>
            <w:r>
              <w:t>V1</w:t>
            </w:r>
          </w:p>
        </w:tc>
        <w:tc>
          <w:tcPr>
            <w:tcW w:w="1123" w:type="dxa"/>
            <w:shd w:val="clear" w:color="auto" w:fill="E3F3E9"/>
            <w:tcMar>
              <w:top w:w="70" w:type="dxa"/>
              <w:left w:w="90" w:type="dxa"/>
              <w:bottom w:w="70" w:type="dxa"/>
              <w:right w:w="90" w:type="dxa"/>
            </w:tcMar>
            <w:vAlign w:val="center"/>
          </w:tcPr>
          <w:p w14:paraId="3E431D04" w14:textId="77777777" w:rsidR="00472341" w:rsidRDefault="00000000">
            <w:pPr>
              <w:spacing w:after="0"/>
              <w:jc w:val="center"/>
            </w:pPr>
            <w:r>
              <w:t>Complete</w:t>
            </w:r>
          </w:p>
        </w:tc>
        <w:tc>
          <w:tcPr>
            <w:tcW w:w="1238" w:type="dxa"/>
            <w:shd w:val="clear" w:color="auto" w:fill="E3F3E9"/>
            <w:tcMar>
              <w:top w:w="70" w:type="dxa"/>
              <w:left w:w="90" w:type="dxa"/>
              <w:bottom w:w="70" w:type="dxa"/>
              <w:right w:w="90" w:type="dxa"/>
            </w:tcMar>
            <w:vAlign w:val="center"/>
          </w:tcPr>
          <w:p w14:paraId="2FBD05A9" w14:textId="77777777" w:rsidR="00472341" w:rsidRDefault="00000000">
            <w:pPr>
              <w:spacing w:after="0"/>
              <w:jc w:val="center"/>
            </w:pPr>
            <w:r>
              <w:t>Complete</w:t>
            </w:r>
          </w:p>
        </w:tc>
        <w:tc>
          <w:tcPr>
            <w:tcW w:w="1109" w:type="dxa"/>
            <w:shd w:val="clear" w:color="auto" w:fill="FFFFFF"/>
            <w:tcMar>
              <w:top w:w="70" w:type="dxa"/>
              <w:left w:w="90" w:type="dxa"/>
              <w:bottom w:w="70" w:type="dxa"/>
              <w:right w:w="90" w:type="dxa"/>
            </w:tcMar>
            <w:vAlign w:val="center"/>
          </w:tcPr>
          <w:p w14:paraId="2C80F03D" w14:textId="77777777" w:rsidR="00472341" w:rsidRDefault="00000000">
            <w:pPr>
              <w:spacing w:after="0"/>
              <w:jc w:val="center"/>
            </w:pPr>
            <w:r>
              <w:t>15</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 xml:space="preserve">Code: </w:t>
            </w:r>
            <w:r>
              <w:rPr>
                <w:color w:val="000000"/>
                <w:sz w:val="15"/>
              </w:rPr>
              <w:t>vs_schools; vs_tenants foundation</w:t>
            </w:r>
          </w:p>
        </w:tc>
      </w:tr>
    </w:tbl>
    <w:p w14:paraId="7D17EC04" w14:textId="77777777" w:rsidR="00472341" w:rsidRDefault="00000000">
      <w:pPr>
        <w:spacing w:line="252" w:lineRule="auto"/>
      </w:pPr>
      <w:r>
        <w:rPr>
          <w:color w:val="000000"/>
          <w:sz w:val="17"/>
        </w:rPr>
        <w:t>Shared-row multi-tenant school and branch administration. The current backend supports creation, listing, editing, statistics, package setup, primary administrators, and branch lifecycle operations. The main-branch designation is handed over rather than stranded, a school's sign-in address is governed and frozen once the school has been live, and school and branch writes emit audit evidence.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tcMar>
            <w:vAlign w:val="center"/>
          </w:tcPr>
          <w:p w14:paraId="4EAA24E1" w14:textId="77777777" w:rsidR="00472341" w:rsidRDefault="00000000">
            <w:pPr>
              <w:spacing w:after="0"/>
            </w:pPr>
            <w:r>
              <w:rPr>
                <w:color w:val="000000"/>
                <w:sz w:val="16"/>
              </w:rPr>
              <w:t>▸  Package plan and enabled-module setup</w:t>
            </w:r>
          </w:p>
        </w:tc>
        <w:tc>
          <w:tcPr>
            <w:tcW w:w="5126" w:type="dxa"/>
            <w:gridSpan w:val="2"/>
            <w:shd w:val="clear" w:color="auto" w:fill="FFFFFF"/>
            <w:tcMar>
              <w:top w:w="70" w:type="dxa"/>
              <w:left w:w="90" w:type="dxa"/>
              <w:bottom w:w="70" w:type="dxa"/>
              <w:right w:w="90" w:type="dxa"/>
            </w:tcMar>
            <w:vAlign w:val="center"/>
          </w:tcPr>
          <w:p w14:paraId="7055AB92" w14:textId="77777777" w:rsidR="00472341" w:rsidRDefault="00000000">
            <w:pPr>
              <w:spacing w:after="0"/>
            </w:pPr>
            <w:r>
              <w:rPr>
                <w:color w:val="000000"/>
                <w:sz w:val="16"/>
              </w:rPr>
              <w:t>▸  Create the first school and branch administrators</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shd w:val="clear" w:color="auto" w:fill="F2F5FA"/>
            <w:tcMar>
              <w:top w:w="70" w:type="dxa"/>
              <w:left w:w="90" w:type="dxa"/>
              <w:bottom w:w="70" w:type="dxa"/>
              <w:right w:w="90" w:type="dxa"/>
            </w:tcMar>
            <w:vAlign w:val="center"/>
          </w:tcPr>
          <w:p w14:paraId="68C28059" w14:textId="77777777" w:rsidR="00472341" w:rsidRDefault="00000000">
            <w:pPr>
              <w:spacing w:after="0"/>
            </w:pPr>
            <w:r>
              <w:rPr>
                <w:color w:val="000000"/>
                <w:sz w:val="16"/>
              </w:rPr>
              <w:t>▸  School sign-in address governance and go-live freeze</w:t>
            </w:r>
          </w:p>
          <w:p w14:paraId="68C28059" w14:textId="77777777" w:rsidR="00472341" w:rsidRDefault="00000000">
            <w:pPr>
              <w:spacing w:after="0"/>
            </w:pPr>
            <w:r>
              <w:rPr>
                <w:color w:val="000000"/>
                <w:sz w:val="16"/>
              </w:rPr>
              <w:t>▸  School and branch audit evidence</w:t>
            </w:r>
          </w:p>
          <w:p w14:paraId="68C28059" w14:textId="77777777" w:rsidR="00472341" w:rsidRDefault="00000000">
            <w:pPr>
              <w:spacing w:after="0"/>
            </w:pPr>
            <w:r>
              <w:rPr>
                <w:color w:val="000000"/>
                <w:sz w:val="16"/>
              </w:rPr>
              <w:t>▸  Authorised, expiring access to school branding files</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E13A92C" w14:textId="77777777" w:rsidR="00472341" w:rsidRDefault="00000000">
            <w:pPr>
              <w:keepNext/>
              <w:spacing w:after="40"/>
            </w:pPr>
            <w:r>
              <w:rPr>
                <w:b/>
                <w:color w:val="2E5495"/>
                <w:sz w:val="17"/>
              </w:rPr>
              <w:t>NEEDS ATTENTION</w:t>
            </w:r>
          </w:p>
          <w:p w14:paraId="334DDF84" w14:textId="77777777" w:rsidR="00472341" w:rsidRDefault="00000000">
            <w:pPr>
              <w:spacing w:after="20"/>
              <w:ind w:left="86" w:hanging="86"/>
            </w:pPr>
            <w:r>
              <w:rPr>
                <w:sz w:val="16"/>
              </w:rPr>
              <w:t>• School lifecycle is still incomplete. An abandoned onboarding now suspends the school and platform staff can return it to onboarding, but there is no operator suspend, reactivate or recoverable soft delete for commercial reasons, and no defined session effect.</w:t>
            </w:r>
          </w:p>
          <w:p w14:paraId="73E0FADB" w14:textId="77777777" w:rsidR="00472341" w:rsidRDefault="00000000">
            <w:pPr>
              <w:spacing w:after="20"/>
              <w:ind w:left="86" w:hanging="86"/>
            </w:pPr>
            <w:r>
              <w:rPr>
                <w:sz w:val="16"/>
              </w:rPr>
              <w:t>• Define closed-branch access rules and prevent destructive deletion where dependent records exist.</w:t>
            </w:r>
          </w:p>
        </w:tc>
      </w:tr>
    </w:tbl>
    <w:p w14:paraId="61112CC3" w14:textId="77777777" w:rsidR="00472341" w:rsidRDefault="00472341">
      <w:pPr>
        <w:spacing w:after="20"/>
      </w:pPr>
    </w:p>
    <w:p w14:paraId="6AEF1B7D" w14:textId="77777777" w:rsidR="00472341" w:rsidRDefault="00000000">
      <w:pPr>
        <w:pStyle w:val="Heading2"/>
        <w:keepNext/>
        <w:keepLines/>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52" w:lineRule="auto"/>
      </w:pPr>
      <w:r>
        <w:rPr>
          <w:color w:val="000000"/>
          <w:sz w:val="17"/>
        </w:rPr>
        <w:t>Platform operator endpoints for cross-school oversight and controlled administration.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tcMar>
            <w:vAlign w:val="center"/>
          </w:tcPr>
          <w:p w14:paraId="1B8A69A8" w14:textId="77777777" w:rsidR="00472341" w:rsidRDefault="00000000">
            <w:pPr>
              <w:spacing w:after="0"/>
            </w:pPr>
            <w:r>
              <w:rPr>
                <w:color w:val="000000"/>
                <w:sz w:val="16"/>
              </w:rPr>
              <w:t>▸  Impersonation termination and expiry handling</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52" w:lineRule="auto"/>
      </w:pPr>
      <w:r>
        <w:t>Authentication, invitations, account security, sessions, platform staff, and organization-position structures. Invitation and password-reset links are request-bound. Account creation now applies the same restricted-role grant ceiling as the dedicated assignment endpoints, so creating a colleague cannot be used as a quieter route to hand out authority the creator does not hold.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tcMar>
            <w:vAlign w:val="center"/>
          </w:tcPr>
          <w:p w14:paraId="16D45FA8" w14:textId="77777777" w:rsidR="00472341" w:rsidRDefault="00000000">
            <w:pPr>
              <w:spacing w:after="0"/>
            </w:pPr>
            <w:r>
              <w:rPr>
                <w:color w:val="000000"/>
                <w:sz w:val="16"/>
              </w:rPr>
              <w:t>▸  JWT access and refresh 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tcMar>
            <w:vAlign w:val="center"/>
          </w:tcPr>
          <w:p w14:paraId="313A8A6C" w14:textId="77777777" w:rsidR="00472341" w:rsidRDefault="00000000">
            <w:pPr>
              <w:spacing w:after="0"/>
            </w:pPr>
            <w:r>
              <w:rPr>
                <w:color w:val="000000"/>
                <w:sz w:val="16"/>
              </w:rPr>
              <w:t>▸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w:t>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p w14:paraId="6BCB76E7" w14:textId="77777777" w:rsidR="00472341" w:rsidRDefault="00000000">
            <w:pPr>
              <w:spacing w:after="20"/>
              <w:ind w:left="86" w:hanging="86"/>
            </w:pPr>
            <w:r>
              <w:rPr>
                <w:sz w:val="16"/>
              </w:rPr>
              <w:t>• Connect positions to the future staff domain without duplicating identity records.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40" w:lineRule="auto" w:before="0" w:after="100"/>
      </w:pPr>
      <w:r>
        <w:rPr>
          <w:rFonts w:ascii="Aptos Narrow" w:hAnsi="Aptos Narrow"/>
          <w:b w:val="0"/>
          <w:color w:val="000000"/>
          <w:sz w:val="18"/>
        </w:rPr>
        <w:t>Two-layer platform and school authorization with reusable permission definitions, roles, templates, assignments, and controlled overrides. Platform-only scope is enforced independently from restricted sensitivity. Restricted keys cannot enter direct role writes, groups, or ALLOW overrides; they enter a custom role only through a change request decided by a different reviewer who already holds every restricted key being granted. Branch reach remains grant-derived, and one person may hold the same role at more than one branch. Every supported role permission or group change records its actor, reason, source, approval reference where applicable, and complete before-and-after access configuration in the same transaction as the mutation.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0"/>
            </w:pPr>
            <w:r>
              <w:rPr>
                <w:color w:val="000000"/>
                <w:sz w:val="16"/>
              </w:rPr>
              <w:t>▸  Locked and protected roles</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shd w:val="clear" w:color="auto" w:fill="F2F5FA"/>
            <w:tcMar>
              <w:top w:w="70" w:type="dxa"/>
              <w:left w:w="90" w:type="dxa"/>
              <w:bottom w:w="70" w:type="dxa"/>
              <w:right w:w="90" w:type="dxa"/>
            </w:tcMar>
            <w:vAlign w:val="center"/>
          </w:tcPr>
          <w:p w14:paraId="06A753C5" w14:textId="77777777" w:rsidR="00472341" w:rsidRDefault="00000000">
            <w:pPr>
              <w:spacing w:after="0"/>
            </w:pPr>
            <w:r>
              <w:rPr>
                <w:color w:val="000000"/>
                <w:sz w:val="16"/>
              </w:rPr>
              <w:t xml:space="preserve">▸  School permission group catalogue with declared branch reach</w:t>
            </w:r>
          </w:p>
          <w:p w14:paraId="06A753C5" w14:textId="77777777" w:rsidR="00472341" w:rsidRDefault="00000000">
            <w:pPr>
              <w:spacing w:after="0"/>
            </w:pPr>
            <w:r>
              <w:rPr>
                <w:color w:val="000000"/>
                <w:sz w:val="16"/>
              </w:rPr>
              <w:t xml:space="preserve"/>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5402B7" w14:textId="77777777" w:rsidR="00472341" w:rsidRDefault="00000000">
            <w:pPr>
              <w:keepNext/>
              <w:spacing w:after="0" w:before="0" w:line="240" w:lineRule="auto"/>
              <w:jc w:val="left"/>
            </w:pPr>
            <w:r>
              <w:rPr>
                <w:rFonts w:ascii="Aptos Narrow" w:hAnsi="Aptos Narrow"/>
                <w:b w:val="0"/>
                <w:color w:val="000000"/>
                <w:sz w:val="16"/>
              </w:rPr>
              <w:t>CURRENT DECISION</w:t>
              <w:br/>
              <w:t>• No material capability gap was identified within this module's stated backend scope.</w:t>
              <w:br/>
              <w:t>• Two role-grant escalations are closed at their source. Scope refuses a tenant carrying a platform-only key. Separately, a restricted key is refused on direct role writes, in permission groups, and as an ALLOW override; it may enter a custom role only through a change request decided by somebody other than the requester, and that reviewer may grant only restricted keys they already hold. Existing unverified restricted grants are removed from custom roles by migration, while trusted seeded system roles remain as the approval bootstrap.</w:t>
              <w:br/>
              <w:t>• A role granted for the whole school now reaches the whole school. The branch narrowing and the permission gate are resolved from the same grants, so a Finance Officer for the whole school is no longer narrowed to the one branch her staff record happens to name while the gate lets her act at the others. Writes follow reads: what she raises without naming a branch is filed school-wide.</w:t>
              <w:br/>
              <w:t>• The same role may now be granted at two branches. The schema always allowed it and both write paths refused it, so a teacher working at two branches could hold the role at one. Every count that reads assignments counts people rather than grant rows.</w:t>
              <w:br/>
              <w:t>• Deactivation is a runtime kill switch. A permission works only while its own row and its module, resource and action are active; a group grant additionally requires an active group. Evaluation, overrides and permission-based routing share that rule, and a durable registry revision invalidates warm permission snapshots across application workers.</w:t>
              <w:br/>
              <w:t>• Role access writes now have one authoritative boundary. Direct edits, approved requests, prebuilt provisioning and role suggestions all lock the role and write one reasoned before-and-after RBAC audit in the same transaction, so a missing audit rolls the access change back.</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 xml:space="preserve">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 xml:space="preserve">CURRENT DECISION • No material capability gap was identified within this module's stated backend scope. • The trail can now be narrowed to one customer. Every writing module records the tenant, by passing it or by inheriting the tenant the request asserted, and events that belong to no customer stay reachable rather than hidden. The tenant roster on the filter drawer is served only to platform callers, so it cannot become a customer list.</w:t>
            </w:r>
          </w:p>
          <w:p w14:paraId="21361CAF" w14:textId="77777777" w:rsidR="00472341" w:rsidRDefault="00000000">
            <w:pPr>
              <w:spacing w:after="20"/>
              <w:ind w:left="86" w:hanging="86"/>
            </w:pPr>
            <w:r>
              <w:rPr>
                <w:sz w:val="16"/>
              </w:rPr>
              <w:t xml:space="preserve"/>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52" w:lineRule="auto"/>
      </w:pPr>
      <w:r>
        <w:rPr>
          <w:color w:val="000000"/>
          <w:sz w:val="17"/>
        </w:rPr>
        <w:t>Typed platform, school, and branch configuration plus capability entitlements.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8349AC4" w14:textId="77777777" w:rsidR="00472341" w:rsidRDefault="00000000">
            <w:pPr>
              <w:keepNext/>
              <w:spacing w:after="40"/>
            </w:pPr>
            <w:r>
              <w:rPr>
                <w:b/>
                <w:color w:val="2E5495"/>
                <w:sz w:val="17"/>
              </w:rPr>
              <w:t>CURRENT DECISION</w:t>
            </w:r>
          </w:p>
          <w:p w14:paraId="35220B93" w14:textId="77777777" w:rsidR="00472341" w:rsidRDefault="00000000">
            <w:pPr>
              <w:spacing w:after="20"/>
              <w:ind w:left="86" w:hanging="86"/>
            </w:pPr>
            <w:r>
              <w:rPr>
                <w:sz w:val="16"/>
              </w:rPr>
              <w:t>• No material capability gap was identified within this module's stated backend scope.</w:t>
            </w:r>
          </w:p>
          <w:p w14:paraId="35220B93" w14:textId="77777777" w:rsidR="00472341" w:rsidRDefault="00000000">
            <w:pPr>
              <w:spacing w:after="20"/>
              <w:ind w:left="86" w:hanging="86"/>
            </w:pPr>
            <w:r>
              <w:rPr>
                <w:sz w:val="16"/>
              </w:rPr>
              <w:t>• Branch scope resolution now answers for writes as well as reads. A named ?branch= is checked against the caller's own grants at the one lookup every configuration view passes through, so a configuration administrator pinned to one site can no longer set another site's values, and a holder of a school-wide configuration role may set them at every branch.</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and payments handlers</w:t>
            </w:r>
          </w:p>
        </w:tc>
      </w:tr>
    </w:tbl>
    <w:p w14:paraId="248E2988" w14:textId="77777777" w:rsidR="00472341" w:rsidRDefault="00000000">
      <w:pPr>
        <w:spacing w:line="252" w:lineRule="auto"/>
      </w:pPr>
      <w:r>
        <w:rPr>
          <w:color w:val="000000"/>
          <w:sz w:val="17"/>
        </w:rPr>
        <w:t>Reusable multi-stage approvals with role, approver-group, document-driven and organogram approvers, branching rules, delegations, actions, and operational queues. A stage nobody can approve parks rather than auto-skipping, by default and not only where a seed remembered to say so.</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Fail-closed handling when no approver resolves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w:t>
            </w:r>
          </w:p>
          <w:p w14:paraId="7CDC09B0" w14:textId="77777777" w:rsidR="00472341" w:rsidRDefault="00000000">
            <w:pPr>
              <w:spacing w:after="0"/>
            </w:pPr>
            <w:r>
              <w:rPr>
                <w:color w:val="000000"/>
                <w:sz w:val="16"/>
              </w:rPr>
              <w:t>▸  Approval-requirement predicate shared with domain gates</w:t>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01971CB" w14:textId="77777777" w:rsidR="00472341" w:rsidRDefault="00000000">
            <w:pPr>
              <w:keepNext/>
              <w:spacing w:after="40"/>
            </w:pPr>
            <w:r>
              <w:rPr>
                <w:b/>
                <w:color w:val="2E5495"/>
                <w:sz w:val="17"/>
              </w:rPr>
              <w:t>NEEDS ATTENTION</w:t>
            </w:r>
          </w:p>
          <w:p w14:paraId="0B2F3511" w14:textId="77777777" w:rsidR="00472341" w:rsidRDefault="00000000">
            <w:pPr>
              <w:spacing w:after="20"/>
              <w:ind w:left="86" w:hanging="86"/>
            </w:pPr>
            <w:r>
              <w:rPr>
                <w:sz w:val="16"/>
              </w:rPr>
              <w:t>• Continue-without-approval remains available only where a document handler permits it. Payouts forbid it; permitted document types still rely on audit rather than a second reviewer.</w:t>
            </w:r>
          </w:p>
          <w:p w14:paraId="0B2F3511" w14:textId="77777777" w:rsidR="00472341" w:rsidRDefault="00000000">
            <w:pPr>
              <w:spacing w:after="20"/>
              <w:ind w:left="86" w:hanging="86"/>
            </w:pPr>
            <w:r>
              <w:rPr>
                <w:sz w:val="16"/>
              </w:rPr>
              <w:t>• Timeouts, escalation timers, and template versioning remain future enhancements, not completed features.</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40" w:lineRule="auto" w:before="0" w:after="100"/>
      </w:pPr>
      <w:r>
        <w:rPr>
          <w:rFonts w:ascii="Aptos Narrow" w:hAnsi="Aptos Narrow"/>
          <w:b w:val="0"/>
          <w:color w:val="000000"/>
          <w:sz w:val="18"/>
        </w:rPr>
        <w:t>Event-driven in-app and email delivery. A record is owned by the tenant of the recipient who reads it, and the tenant an event is about is kept separately as its origin. Transactional operational alarms, including Module 30 health alerts, bypass delivery preferences and use both channels. One-time invitation and reset credentials are replaced only in the delivery worker, so notification records retain a marker rather than the raw secret. This is a notification engine, not a person-to-person chat product.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B7EB2DD" w14:textId="77777777" w:rsidR="00472341" w:rsidRDefault="00000000">
            <w:pPr>
              <w:spacing w:after="0" w:before="0" w:line="240" w:lineRule="auto"/>
              <w:jc w:val="left"/>
            </w:pPr>
            <w:r>
              <w:rPr>
                <w:rFonts w:ascii="Aptos Narrow" w:hAnsi="Aptos Narrow"/>
                <w:b w:val="0"/>
                <w:color w:val="000000"/>
                <w:sz w:val="16"/>
              </w:rPr>
              <w:t>▸  Background delivery, retries, and transactional operational alerts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sz w:val="16"/>
              </w:rPr>
              <w:t>• A template whose HTML is edited by hand stops inheriting later design changes until it is reset to the standard layout.</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52" w:lineRule="auto"/>
      </w:pPr>
      <w:r>
        <w:rPr>
          <w:color w:val="000000"/>
          <w:sz w:val="17"/>
        </w:rPr>
        <w:t xml:space="preserve">The onboarding tracker and the go-live gate, built as a module of its own. A school that is not yet live signs in, works a checklist, asks to be activated and is activated by platform staff; a school that abandons the process is warned, expires, and can be put back by hand. Approving, rejecting and reinstating are reserved to the platform tenant by a check on the caller, so a school that grants itself the key still cannot take itself live.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xml:space="preserve">▸  Platform-reserved go-live decision</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The academic structure module exists and is mounted, so the required checklist step it was blocking now has a backend to check against. Versions 2.9 to 2.36 carried the older claim after it had stopped being true.</w:t>
            </w:r>
          </w:p>
          <w:p w14:paraId="38D7D122" w14:textId="77777777" w:rsidR="00472341" w:rsidRDefault="00000000">
            <w:pPr>
              <w:spacing w:after="20"/>
              <w:ind w:left="86" w:hanging="86"/>
            </w:pPr>
            <w:r>
              <w:rPr>
                <w:sz w:val="16"/>
              </w:rPr>
              <w:t>• The finance abstraction layer does not exist, so this module speaks to finance in tenant and entity terms only.</w:t>
            </w:r>
          </w:p>
          <w:p w14:paraId="38D7D122" w14:textId="77777777" w:rsidR="00472341" w:rsidRDefault="00000000">
            <w:pPr>
              <w:spacing w:after="20"/>
              <w:ind w:left="86" w:hanging="86"/>
            </w:pPr>
            <w:r>
              <w:rPr>
                <w:sz w:val="16"/>
              </w:rPr>
              <w:t>• Notification templates are a deploy precondition: where one is missing, dispatch logs a warning and skips the channel, so a message never arrives and nothing fails.</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No dataset a school may import for itself exists yet. Students, staff and parents have no template and no model, so the school-facing import screen shows an empty table. The onboarding checklist step it serves is optional, so readiness and go-live are not blocked.</w:t>
            </w:r>
          </w:p>
          <w:p w14:paraId="38D7D122" w14:textId="77777777" w:rsidR="00472341" w:rsidRDefault="00000000">
            <w:pPr>
              <w:spacing w:after="20"/>
              <w:ind w:left="86" w:hanging="86"/>
            </w:pPr>
            <w:r>
              <w:rPr>
                <w:sz w:val="16"/>
              </w:rPr>
              <w:t>• Import notifications are the module's own rows and are not dispatched through Module 8. There is no email, no bell entry and no delivery record, and the feed requires a platform key, so the school administrator who started an import cannot read the notice about it.</w:t>
            </w:r>
          </w:p>
          <w:p w14:paraId="38D7D122" w14:textId="77777777" w:rsidR="00472341" w:rsidRDefault="00000000">
            <w:pPr>
              <w:spacing w:after="20"/>
              <w:ind w:left="86" w:hanging="86"/>
            </w:pPr>
            <w:r>
              <w:rPr>
                <w:sz w:val="16"/>
              </w:rPr>
              <w:t>• A run cannot be stopped once it has started. Cancellation covers only the statuses before execution and the row loop checks nothing, so a long import of a wrong file must finish and then be rolled back.</w:t>
            </w:r>
          </w:p>
          <w:p w14:paraId="38D7D122" w14:textId="77777777" w:rsidR="00472341" w:rsidRDefault="00000000">
            <w:pPr>
              <w:spacing w:after="20"/>
              <w:ind w:left="86" w:hanging="86"/>
            </w:pPr>
            <w:r>
              <w:rPr>
                <w:sz w:val="16"/>
              </w:rPr>
              <w:t>• Execution reads the batch's stored preview rows with no streaming path, so the practical file size is bounded by one JSON column and one in-memory list. No limit is stated or enforced.</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No mounted domain app</w:t>
            </w:r>
          </w:p>
        </w:tc>
      </w:tr>
    </w:tbl>
    <w:p w14:paraId="04B21C35" w14:textId="77777777" w:rsidR="00472341" w:rsidRDefault="00000000">
      <w:pPr>
        <w:spacing w:line="252" w:lineRule="auto"/>
      </w:pPr>
      <w:r>
        <w:rPr>
          <w:color w:val="000000"/>
          <w:sz w:val="17"/>
        </w:rPr>
        <w:t>Planned student record and lifecycle domain that will unlock class-based billing, attendance, gradebook, and portals.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Design the student-family access layer before exposing student data to parents or billing integrations.</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 xml:space="preserve">Code: </w:t>
            </w:r>
            <w:r>
              <w:rPr>
                <w:color w:val="000000"/>
                <w:sz w:val="15"/>
              </w:rPr>
              <w:t>No mounted domain app</w:t>
            </w:r>
          </w:p>
        </w:tc>
      </w:tr>
    </w:tbl>
    <w:p w14:paraId="400ACC12" w14:textId="77777777" w:rsidR="00472341" w:rsidRDefault="00000000">
      <w:pPr>
        <w:spacing w:line="252" w:lineRule="auto"/>
      </w:pPr>
      <w:r>
        <w:rPr>
          <w:color w:val="000000"/>
          <w:sz w:val="17"/>
        </w:rPr>
        <w:t>Planned employment and school-assignment domain, reusing existing identity, position, and organogram foundations.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sz w:val="16"/>
              </w:rPr>
              <w:t>• Reuse OrgNode, Position, PositionAssignment, and MatrixReport rather than building a second organization structure.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schools.vs_academics, mounted at /v1/academics/</w:t>
            </w:r>
          </w:p>
        </w:tc>
      </w:tr>
    </w:tbl>
    <w:p w14:paraId="338A47BC" w14:textId="77777777" w:rsidR="00472341" w:rsidRDefault="00000000">
      <w:pPr>
        <w:spacing w:line="252" w:lineRule="auto"/>
      </w:pPr>
      <w:r>
        <w:rPr>
          <w:color w:val="000000"/>
          <w:sz w:val="17"/>
        </w:rPr>
        <w:t>The academic backbone, built: school years and their terms with an activation and archive lifecycle, departments, programmes, levels with promotion links, classes and arms, subjects and the levels they are offered at, a structure tree and an overview read, and a roll-forward that copies a year's structure into the next. 258 tests. Consumed by Module 14, which points at its years, classes and subjects.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Two of the ten capabilities above are not evidenced and are why this module is Partial rather than Complete. Effective-dated structure changes: no model carries an effective_from, so a mid-year rename rewrites history rather than superseding it. And the class-subject-teacher assignment layer, which M13 FRD v2.5 withdrew deliberately - the teacher half has no permission key of its own and waits for Module 12, which leaves the timetable slot as the first and only place a person is bound to a subject. Academics-specific bulk import is also unbuilt.</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schools.vs_calendar, mounted at /v1/academics/{calendar,timetable,exams}/</w:t>
            </w:r>
          </w:p>
        </w:tc>
      </w:tr>
    </w:tbl>
    <w:p w14:paraId="0A9FA4A3" w14:textId="77777777" w:rsidR="00472341" w:rsidRDefault="00000000">
      <w:pPr>
        <w:spacing w:line="252" w:lineRule="auto"/>
      </w:pPr>
      <w:r>
        <w:rPr>
          <w:color w:val="000000"/>
          <w:sz w:val="17"/>
        </w:rPr>
        <w:t>Class scheduling, rooms, school events and conflict detection, built. Eight models and twenty-three endpoints behind eight screens: the calendar hub, events, a term view, rooms, the bell schedule, class timetables, the derived teacher timetable and exam scheduling. 144 tests. Documented by M14 FRD v3.1.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 - teacher, room and class, across branches</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 (not built)</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 an event narrowed to levels or classes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(no notification hooks - see Needs Attention)</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Publishing a timetable notifies nobody, and that is deliberate rather than unbuilt. There is no academics notification event type, no student record and no guardian record, so the capability that read "calendar export and notification hooks" is now export alone. M14 FRD v3.1 section 7.3 withdraws the notification half explicitly; whether publication should ever notify anyone, and whom, is an open product question rather than a gap in the code.</w:t>
      </w:r>
    </w:p>
    <w:p w14:paraId="7F02F14B" w14:textId="77777777" w:rsidR="00472341" w:rsidRDefault="00000000">
      <w:pPr>
        <w:spacing w:after="20"/>
        <w:ind w:left="86" w:hanging="86"/>
      </w:pPr>
      <w:r>
        <w:rPr>
          <w:sz w:val="16"/>
        </w:rPr>
        <w:t>• There is no automatic timetable generation and there must not be a stub for one. A generator needs three facts the platform does not record: how many periods a week each subject should get, when each teacher is available, and what each teacher actually teaches. Without them it would produce an arbitrary grid wearing the authority of a machine, which an administrator would accept.</w:t>
      </w:r>
    </w:p>
    <w:p w14:paraId="7F02F14B" w14:textId="77777777" w:rsidR="00472341" w:rsidRDefault="00000000">
      <w:pPr>
        <w:spacing w:after="20"/>
        <w:ind w:left="86" w:hanging="86"/>
      </w:pPr>
      <w:r>
        <w:rPr>
          <w:sz w:val="16"/>
        </w:rPr>
        <w:t>• A teacher is identified by a role grant rather than by a staff record, because there is no staff model. Somebody who has not been given a login, or whose teacher role nobody assigned, cannot be put on a timetable. Module 12 is what closes this; nothing in this module should grow a staff table of its own in the meantime.</w:t>
      </w:r>
    </w:p>
    <w:p w14:paraId="7F02F14B" w14:textId="77777777" w:rsidR="00472341" w:rsidRDefault="00000000">
      <w:pPr>
        <w:spacing w:after="20"/>
        <w:ind w:left="86" w:hanging="86"/>
      </w:pPr>
      <w:r>
        <w:rPr>
          <w:sz w:val="16"/>
        </w:rPr>
        <w:t>• Substitution and timetable-change records are not built. A school covering an absent teacher edits the grid, which loses what the arrangement was before the change.</w:t>
      </w:r>
    </w:p>
    <w:p w14:paraId="500AF1C0" w14:textId="77777777" w:rsidR="00472341" w:rsidRDefault="00000000">
      <w:pPr>
        <w:pStyle w:val="Heading2"/>
        <w:keepNext/>
        <w:keepLines/>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 xml:space="preserve">Code: </w:t>
            </w:r>
            <w:r>
              <w:rPr>
                <w:color w:val="000000"/>
                <w:sz w:val="15"/>
              </w:rPr>
              <w:t>vs_finance</w:t>
            </w:r>
          </w:p>
        </w:tc>
      </w:tr>
    </w:tbl>
    <w:p w14:paraId="6161FC24" w14:textId="77777777" w:rsidR="00472341" w:rsidRDefault="00000000">
      <w:pPr>
        <w:spacing w:line="252" w:lineRule="auto"/>
      </w:pPr>
      <w:r>
        <w:rPr>
          <w:color w:val="000000"/>
          <w:sz w:val="17"/>
        </w:rPr>
        <w:t>Generic accounts-receivable engine is implemented.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sz w:val="16"/>
              </w:rPr>
              <w:t>• Connect billing customers and fee assignments to students, guardians, classes, and academic periods after those domains exist.</w:t>
            </w:r>
          </w:p>
        </w:tc>
      </w:tr>
    </w:tbl>
    <w:p w14:paraId="7AC00C04" w14:textId="77777777" w:rsidR="00472341" w:rsidRDefault="00472341">
      <w:pPr>
        <w:spacing w:after="20"/>
      </w:pP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OPay, or another provider is called.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OPay provider integration</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br/>
              <w:t>• Every payout, including POST /payouts/, enters approval as a batch. No creation or direct-submit route calls the provider.</w:t>
              <w:br/>
              <w:t>• Low-value batches need one checker; a batch at or above N500,000 needs a distinct senior checker. Payouts cannot continue without human approval.</w:t>
              <w:br/>
              <w:t>• A data migration publishes a blocked platform fallback for entities that predate tenant provisioning, without overwriting an existing platform policy. payout_approval_health names every active entity that still cannot resolve a ladder and fails the release check.</w:t>
              <w:br/>
              <w:t>• The destination comes from a verified, active vendor master. Bank changes reset KYC and the live master is rechecked at dispatch.</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sz w:val="16"/>
              </w:rPr>
              <w:t>• Every branch-bearing ledger list, summary and detail read narrows to the caller's branches, and a document is stamped with the branch it was raised at. The trial balance, income statement and balance sheet are not narrowed: they aggregate through several relation paths and were left for their own design round.</w:t>
            </w:r>
          </w:p>
          <w:p w14:paraId="1018B6E3" w14:textId="77777777" w:rsidR="00472341" w:rsidRDefault="00000000">
            <w:pPr>
              <w:spacing w:after="20"/>
              <w:ind w:left="86" w:hanging="86"/>
            </w:pPr>
            <w:r>
              <w:rPr>
                <w:sz w:val="16"/>
              </w:rPr>
              <w:t>• Finish school and branch domain integration where finance records require academic ownership.</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sz w:val="16"/>
              </w:rPr>
              <w:t>• Refunds and write-offs are gated by a published ladder at any size. A concession or credit note is gated only at or above the configurable threshold, and that threshold now decides: below it the adjustment posts on one person's permission, which is the intended trade for small goodwill.</w:t>
            </w:r>
          </w:p>
          <w:p w14:paraId="338F07E7" w14:textId="77777777" w:rsidR="00472341" w:rsidRDefault="00000000">
            <w:pPr>
              <w:spacing w:after="20"/>
              <w:ind w:left="86" w:hanging="86"/>
            </w:pPr>
            <w:r>
              <w:rPr>
                <w:sz w:val="16"/>
              </w:rPr>
              <w:t>• The threshold is one figure per tenant across both types, so a concession and a credit note cannot yet be gated at different sizes.</w:t>
            </w:r>
          </w:p>
          <w:p w14:paraId="338F07E7" w14:textId="77777777" w:rsidR="00472341" w:rsidRDefault="00000000">
            <w:pPr>
              <w:spacing w:after="20"/>
              <w:ind w:left="86" w:hanging="86"/>
            </w:pPr>
            <w:r>
              <w:rPr>
                <w:sz w:val="16"/>
              </w:rPr>
              <w:t>• Connect concessions and student-facing refund rules to the future student and guardian domains.</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protected with the other bank fields,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 xml:space="preserve">Code: </w:t>
            </w:r>
            <w:r>
              <w:rPr>
                <w:color w:val="000000"/>
                <w:sz w:val="15"/>
              </w:rPr>
              <w:t>vs_procurement; vs_workflow; vs_finance</w:t>
            </w:r>
          </w:p>
        </w:tc>
      </w:tr>
    </w:tbl>
    <w:p w14:paraId="04818759" w14:textId="77777777" w:rsidR="00472341" w:rsidRDefault="00000000">
      <w:pPr>
        <w:spacing w:line="252" w:lineRule="auto"/>
      </w:pPr>
      <w:r>
        <w:rPr>
          <w:color w:val="000000"/>
          <w:sz w:val="17"/>
        </w:rPr>
        <w:t>Requisition, budget-check, sourcing, quotation, award, and approval flows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BD4B077" w14:textId="77777777" w:rsidR="00472341" w:rsidRDefault="00000000">
            <w:pPr>
              <w:keepNext/>
              <w:spacing w:after="40"/>
            </w:pPr>
            <w:r>
              <w:rPr>
                <w:b/>
                <w:color w:val="2E5495"/>
                <w:sz w:val="17"/>
              </w:rPr>
              <w:t>NEEDS ATTENTION</w:t>
            </w:r>
          </w:p>
          <w:p w14:paraId="69828B70" w14:textId="77777777" w:rsidR="00472341" w:rsidRDefault="00000000">
            <w:pPr>
              <w:spacing w:after="20"/>
              <w:ind w:left="86" w:hanging="86"/>
            </w:pPr>
            <w:r>
              <w:rPr>
                <w:sz w:val="16"/>
              </w:rPr>
              <w:t>• Approval now fails closed for controlled spend: the seeded stages park rather than skip, a repair pass frees them once somebody is appointed, and a data migration corrected the stages published before the change.</w:t>
            </w:r>
          </w:p>
          <w:p w14:paraId="502C2918" w14:textId="77777777" w:rsidR="00472341" w:rsidRDefault="00000000">
            <w:pPr>
              <w:spacing w:after="20"/>
              <w:ind w:left="86" w:hanging="86"/>
            </w:pPr>
            <w:r>
              <w:rPr>
                <w:sz w:val="16"/>
              </w:rPr>
              <w:t>• Default approval templates are tenant-scoped and branch-aware, and are now published when a tenant's books are created rather than by a command somebody has to remember.</w:t>
            </w:r>
          </w:p>
          <w:p w14:paraId="502C2918" w14:textId="77777777" w:rsidR="00472341" w:rsidRDefault="00000000">
            <w:pPr>
              <w:spacing w:after="20"/>
              <w:ind w:left="86" w:hanging="86"/>
            </w:pPr>
            <w:r>
              <w:rPr>
                <w:sz w:val="16"/>
              </w:rP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 xml:space="preserve">Code: </w:t>
            </w:r>
            <w:r>
              <w:rPr>
                <w:color w:val="000000"/>
                <w:sz w:val="15"/>
              </w:rPr>
              <w:t>vs_procurement; vs_finance; vs_payments</w:t>
            </w:r>
          </w:p>
        </w:tc>
      </w:tr>
    </w:tbl>
    <w:p w14:paraId="5257879C" w14:textId="77777777" w:rsidR="00472341" w:rsidRDefault="00000000">
      <w:pPr>
        <w:spacing w:line="252" w:lineRule="auto"/>
      </w:pPr>
      <w:r>
        <w:rPr>
          <w:color w:val="000000"/>
          <w:sz w:val="17"/>
        </w:rPr>
        <w:t>The purchase-to-pay chain is implemented from purchase order through receipt, matching, vendor invoice, payment, and accounting integration.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site's bill.</w:t>
            </w:r>
          </w:p>
        </w:tc>
      </w:tr>
    </w:tbl>
    <w:p w14:paraId="280CD326" w14:textId="77777777" w:rsidR="00472341" w:rsidRDefault="00472341">
      <w:pPr>
        <w:spacing w:after="20"/>
      </w:pPr>
    </w:p>
    <w:p w14:paraId="0F0D23BC" w14:textId="77777777" w:rsidR="00472341" w:rsidRDefault="00000000">
      <w:pPr>
        <w:pStyle w:val="Heading2"/>
        <w:keepNext/>
        <w:keepLines/>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sz w:val="16"/>
              </w:rPr>
              <w:t>• History predating the change sits at each entity's default location, and there is no transfer document, so moving stock between stores has to be recorded as an issue and a receipt.</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7D5F881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40"/>
            </w:pPr>
            <w:r>
              <w:rPr>
                <w:b/>
                <w:color w:val="2E5495"/>
                <w:sz w:val="17"/>
              </w:rPr>
              <w:t>NEEDS ATTENTION</w:t>
            </w:r>
          </w:p>
          <w:p w14:paraId="41213CEB" w14:textId="77777777" w:rsidR="00472341" w:rsidRDefault="00000000">
            <w:pPr>
              <w:spacing w:after="20"/>
              <w:ind w:left="86" w:hanging="86"/>
            </w:pPr>
            <w:r>
              <w:rPr>
                <w:sz w:val="16"/>
              </w:rPr>
              <w:t>• Academic, attendance, student, and guardian KPIs remain blocked by the planned school-domain modules.</w:t>
            </w:r>
          </w:p>
          <w:p w14:paraId="332AE647" w14:textId="77777777" w:rsidR="00472341" w:rsidRDefault="00000000">
            <w:pPr>
              <w:spacing w:after="20"/>
              <w:ind w:left="86" w:hanging="86"/>
            </w:pPr>
            <w:r>
              <w:rPr>
                <w:sz w:val="16"/>
              </w:rPr>
              <w:t>• Custom dashboard layouts and user-configurable widgets are not implemented.</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Export-run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5BADCA7D" w14:textId="77777777" w:rsidR="00472341" w:rsidRDefault="00000000">
            <w:pPr>
              <w:keepNext/>
              <w:spacing w:after="40"/>
            </w:pPr>
            <w:r>
              <w:rPr>
                <w:b/>
                <w:color w:val="2E5495"/>
                <w:sz w:val="17"/>
              </w:rPr>
              <w:t>CURRENT DECISION</w:t>
            </w:r>
          </w:p>
          <w:p w14:paraId="353E0304" w14:textId="77777777" w:rsidR="00472341" w:rsidRDefault="00000000">
            <w:pPr>
              <w:spacing w:after="20"/>
              <w:ind w:left="86" w:hanging="86"/>
            </w:pPr>
            <w:r>
              <w:rPr>
                <w:sz w:val="16"/>
              </w:rPr>
              <w:t>• No material capability gap was identified within this module's stated backend scope.</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br w:type="page"/>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Build an explicit guardian-student relationship and authorization layer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Tenant-scoped task management with assignment, filtering, overdue visibility, and personal and team dashboards.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sz w:val="16"/>
              </w:rPr>
              <w:t>• No material capability gap was identified within this module's stated backend scope.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40" w:lineRule="auto" w:before="0" w:after="100"/>
      </w:pPr>
      <w:r>
        <w:rPr>
          <w:rFonts w:ascii="Aptos Narrow" w:hAnsi="Aptos Narrow"/>
          <w:b w:val="0"/>
          <w:color w:val="000000"/>
          <w:sz w:val="18"/>
        </w:rPr>
        <w:t>Operational health, reliability, sustained service-scoped alerts, email and in-app operator delivery, incident, deployment, queue, and tenant-status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Tenant-filterable API request analytics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10668D4" w14:textId="77777777" w:rsidR="00472341" w:rsidRDefault="00000000">
            <w:pPr>
              <w:spacing w:after="0" w:before="0" w:line="240" w:lineRule="auto"/>
              <w:jc w:val="left"/>
            </w:pPr>
            <w:r>
              <w:rPr>
                <w:rFonts w:ascii="Aptos Narrow" w:hAnsi="Aptos Narrow"/>
                <w:b w:val="0"/>
                <w:color w:val="000000"/>
                <w:sz w:val="16"/>
              </w:rPr>
              <w:t>▸  Sustained, service-scoped alert rules, active alerts, and email and in-app operator delivery</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9ABA583" w14:textId="77777777" w:rsidR="00472341" w:rsidRDefault="00000000">
            <w:pPr>
              <w:keepNext/>
              <w:spacing w:after="0" w:before="0" w:line="240" w:lineRule="auto"/>
              <w:jc w:val="left"/>
            </w:pPr>
            <w:r>
              <w:rPr>
                <w:rFonts w:ascii="Aptos Narrow" w:hAnsi="Aptos Narrow"/>
                <w:b w:val="0"/>
                <w:color w:val="000000"/>
                <w:sz w:val="16"/>
              </w:rPr>
              <w:t>CURRENT DECISION</w:t>
              <w:br/>
              <w:t>• No material capability gap was identified within this module's stated backend scope.</w:t>
              <w:br/>
              <w:t>• Request error-rate and p95 rules use only the selected service's route group. A null target remains platform-wide, and a service without request metrics is refused at configuration.</w:t>
              <w:br/>
              <w:t>• duration_sec is a real sustained-breach clock. The first breaching evaluation stores its start, a clearing evaluation resets it, and an incident opens only after the full duration.</w:t>
              <w:br/>
              <w:t>• A firing alert resolves active platform.health.manage holders and creates both email and in-app notification records through Module 8. Email uses its existing worker retries and terminal delivery history.</w:t>
              <w:br/>
              <w:t>• Rule-row locking and one-firing-alert uniqueness prevent overlapping evaluators from duplicating incidents. Human incident references no longer depend on lexical allocation and are UUID-backed.</w:t>
              <w:br/>
              <w:t>• Verification completed with 37 Module 30 tests and 107 Module 8 tests.</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assignments, controlled status changes, notifications, audit, privacy-safe guide-to-support context, and dimensionless how-to analytics for platform editorial review.</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DC2461B" w14:textId="77777777" w:rsidR="00472341" w:rsidRDefault="00000000">
            <w:pPr>
              <w:keepNext/>
              <w:spacing w:after="40"/>
            </w:pPr>
            <w:r>
              <w:rPr>
                <w:b/>
                <w:color w:val="2E5495"/>
                <w:sz w:val="17"/>
              </w:rPr>
              <w:t>CURRENT DECISION</w:t>
            </w:r>
          </w:p>
          <w:p w14:paraId="61085465" w14:textId="77777777" w:rsidR="00472341" w:rsidRDefault="00000000">
            <w:pPr>
              <w:spacing w:after="20"/>
              <w:ind w:left="86" w:hanging="86"/>
            </w:pPr>
            <w:r>
              <w:rPr>
                <w:sz w:val="16"/>
              </w:rPr>
              <w:t>• No material capability gap was identified within this module's stated backend scope.</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tcMar>
            <w:vAlign w:val="center"/>
          </w:tcPr>
          <w:p w14:paraId="73C48CB5" w14:textId="77777777" w:rsidR="00472341" w:rsidRDefault="00000000">
            <w:pPr>
              <w:spacing w:after="0"/>
            </w:pPr>
            <w:r>
              <w:rPr>
                <w:color w:val="000000"/>
                <w:sz w:val="15"/>
              </w:rPr>
              <w:t>Add operator suspend, reactivate and recoverable soft delete, and define session, authentication and downstream-record behaviour. An abandoned onboarding now suspends a school and platform staff can return it,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Academic structure behind onboarding</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Closed. The onboarding checklist, readiness, go-live gate and expiry window are built, and Module 13 is now mounted at /v1/academics/, so the step that completed on the school's word can be machine-checked. Module 13 remains Partial for reasons unrelated to onboarding.</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M13</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P2</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 narrowing on the financial statements</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Procurement, stock and the finance ledgers now narrow to the caller's branches, and documents are stamped with the branch they were raised at. The trial balance, income statement and balance sheet were deliberately left out because they aggregate ledger lines through several relation paths and need their own design round, so a branch-bound bursar still reads the whole entity's position. Narrow them, or record that a statement is an entity-level report by definition.</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M19, M4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Build students, staff, and academic structure before portals, attendance, gradebook, or school-linked finance promises.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M11-M16, M17, M20, M25, M27, M28</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300" w:after="160" w:line="240" w:lineRule="auto"/>
      </w:pPr>
      <w:r>
        <w:rPr>
          <w:rFonts w:ascii="Aptos Narrow" w:hAnsi="Aptos Narrow"/>
          <w:b/>
          <w:color w:val="000000"/>
          <w:sz w:val="34"/>
        </w:rPr>
        <w:t>5. v2.42 Documentation Delta</w:t>
      </w:r>
    </w:p>
    <w:p w14:paraId="4C4A5E5A" w14:textId="77777777" w:rsidR="00472341" w:rsidRDefault="00000000">
      <w:pPr>
        <w:spacing w:after="100" w:line="240" w:lineRule="auto" w:before="0"/>
      </w:pPr>
      <w:r>
        <w:rPr>
          <w:rFonts w:ascii="Aptos Narrow" w:hAnsi="Aptos Narrow"/>
          <w:b w:val="0"/>
          <w:color w:val="000000"/>
          <w:sz w:val="18"/>
        </w:rPr>
        <w:t>This revision turns a stored Health alert into a delivered operational alarm and corrects the service, duration, concurrency, and incident identity contracts that decide when it fires.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1368"/>
        <w:gridCol w:w="6580"/>
      </w:tblGrid>
      <w:tr w:rsidR="00472341" w14:paraId="1C466A26" w14:textId="77777777">
        <w:trPr>
          <w:tblHeader/>
          <w:jc w:val="center"/>
          <w:tblHeader w:val="true"/>
          <w:tblHeader w:val="true"/>
          <w:tblHeader w:val="true"/>
          <w:tblHeader w:val="true"/>
          <w:tblHeader w:val="true"/>
          <w:tblHeader w:val="true"/>
          <w:tblHeader w:val="true"/>
        </w:trPr>
        <w:tc>
          <w:tcPr>
            <w:tcW w:w="2520"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v2.42 documentation delta</w:t>
            </w:r>
          </w:p>
        </w:tc>
        <w:tc>
          <w:tcPr>
            <w:tcW w:w="1368"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Decision</w:t>
            </w:r>
          </w:p>
        </w:tc>
        <w:tc>
          <w:tcPr>
            <w:tcW w:w="6581"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Evidence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Operator delivery</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Added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firing alert creates in-app and email records for active platform.health.manage holders through the transactional health.alert_fired event.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Service isolation</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Corrected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Error-rate and p95 evaluation filters request metrics by the selected service route group and refuses unsupported targets.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Sustained duration</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Persisted breach-start state proves the rule remained breaching for duration_sec; a clear evaluation resets the clock.</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Concurrent evaluation</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Hardened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locked rule row and one-firing-alert constraint prevent overlapping evaluators from opening duplicates.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Incident reference</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UUID-backed references replace lexical read-and-increment allocation.</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5F555DE" w14:textId="77777777" w:rsidR="00472341" w:rsidRDefault="00000000">
            <w:pPr>
              <w:spacing w:after="0" w:before="0" w:line="240" w:lineRule="auto"/>
              <w:jc w:val="left"/>
            </w:pPr>
            <w:r>
              <w:rPr>
                <w:rFonts w:ascii="Aptos Narrow" w:hAnsi="Aptos Narrow"/>
                <w:b w:val="0"/>
                <w:color w:val="000000"/>
                <w:sz w:val="16"/>
              </w:rPr>
              <w:t>Add safe school lifecycle controls and require privileged MFA. Procurement and payout approval fail closed; payout routing now has an automatic platform fallback and a release check that names any uncovered entity.</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tcMar>
            <w:vAlign w:val="center"/>
          </w:tcPr>
          <w:p w14:paraId="16ED23C3" w14:textId="77777777" w:rsidR="00472341" w:rsidRDefault="00000000">
            <w:pPr>
              <w:spacing w:after="0"/>
            </w:pPr>
            <w:r>
              <w:rPr>
                <w:b/>
                <w:color w:val="2E5495"/>
                <w:sz w:val="17"/>
              </w:rPr>
              <w:t>Finish what onboarding cannot yet check</w:t>
            </w:r>
          </w:p>
        </w:tc>
        <w:tc>
          <w:tcPr>
            <w:tcW w:w="6768" w:type="dxa"/>
            <w:shd w:val="clear" w:color="auto" w:fill="FFFFFF"/>
            <w:tcMar>
              <w:top w:w="70" w:type="dxa"/>
              <w:left w:w="90" w:type="dxa"/>
              <w:bottom w:w="70" w:type="dxa"/>
              <w:right w:w="90" w:type="dxa"/>
            </w:tcMar>
            <w:vAlign w:val="center"/>
          </w:tcPr>
          <w:p w14:paraId="2281B7C6" w14:textId="77777777" w:rsidR="00472341" w:rsidRDefault="00000000">
            <w:pPr>
              <w:spacing w:after="0"/>
            </w:pPr>
            <w:r>
              <w:rPr>
                <w:color w:val="000000"/>
                <w:sz w:val="17"/>
              </w:rPr>
              <w:t>The checklist, readiness, the go-live gate and the onboarding window are built and a school can run them itself. One required step has no backend behind it, so Academic Structure is what gives onboarding its last machine-checkable condition.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tcMar>
            <w:vAlign w:val="center"/>
          </w:tcPr>
          <w:p w14:paraId="36713B8A" w14:textId="77777777" w:rsidR="00472341" w:rsidRDefault="00000000">
            <w:pPr>
              <w:spacing w:after="0"/>
            </w:pPr>
            <w:r>
              <w:rPr>
                <w:b/>
                <w:color w:val="2E5495"/>
                <w:sz w:val="17"/>
              </w:rPr>
              <w:t>Build the academic foundation</w:t>
            </w:r>
          </w:p>
        </w:tc>
        <w:tc>
          <w:tcPr>
            <w:tcW w:w="6768" w:type="dxa"/>
            <w:shd w:val="clear" w:color="auto" w:fill="F2F5FA"/>
            <w:tcMar>
              <w:top w:w="70" w:type="dxa"/>
              <w:left w:w="90" w:type="dxa"/>
              <w:bottom w:w="70" w:type="dxa"/>
              <w:right w:w="90" w:type="dxa"/>
            </w:tcMar>
            <w:vAlign w:val="center"/>
          </w:tcPr>
          <w:p w14:paraId="3105E690" w14:textId="77777777" w:rsidR="00472341" w:rsidRDefault="00000000">
            <w:pPr>
              <w:spacing w:after="0"/>
            </w:pPr>
            <w:r>
              <w:rPr>
                <w:color w:val="000000"/>
                <w:sz w:val="17"/>
              </w:rPr>
              <w:t>Implement Student Management and Staff Management before dependent modules. Academic Structure is built and Timetable &amp; Calendar now stands on it; Staff Management is the one that most limits what Timetable can check, because a teacher is currently a role grant rather than a person with hours, a specialism and a qualification.</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Attendance and Gradebook using the shared identity, workflow, notification and export engines. Timetable is built and registers its own export datasets; it emits no notification, deliberately.</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and the finance ledgers is done; what is left there is the financial statements.</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Module 30 alerts operational rather than dashboard-only. A sustained rule breach now opens one incident and dispatches the transactional health.alert_fired event to active platform operators holding platform.health.manage, creating both an immediate in-app record and a queued email record with the existing retry and delivery-history lifecycle. Request error-rate and p95 rules now restrict their metrics to the selected service routes, unsupported service and metric combinations are refused, and duration_sec is backed by persisted breach-start state rather than an aggregate window. Rule-row locking and a conditional unique constraint prevent duplicate firing alerts, while incident references are UUID-backed. Modules 8 and 30 remain Backend Complete and Integration Complete with 22 and 13 capability entries. Reconciled to Notifications FRD v1.4. Backend evidence and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Separated Module 30's health analytics scope from the mandatory tenant authentication assertion. ?tenant=&lt;slug&gt; remains the authenticated context, while ?for_tenant=&lt;slug or id&gt; now narrows the overview request series, golden signals, API endpoint rows, and status-code series. A scope naming no tenant returns HTTP 400 instead of silently widening to global analytics. The API endpoint view resolves the scope once and reuses the numeric tenant ID for both its table and chart. Real-JWT regression tests cover slug and numeric filters, invalid scope, and the unfiltered platform view. Module 30 remains Backend Complete and Integration Complete with thirteen capability entries. No priority gap or build order changed. Backend evidence and 31 passing Module 30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unaudited direct-role edit path in Module 4. Permission and group changes now cross one set_role_access transaction that locks the role, validates the final combined set, preserves unchanged rows, bumps the role version when access changes, and writes the authoritative RBACAuditLog before commit. The event names the actor, reason, direct grant and deny keys, group IDs, effective combined keys, before and after values, source, and any approval reference. Direct API edits now require a reason, while an approved restricted change uses the request justification and ID. Prebuilt and suggested role provisioning, plus Super Admin permission reconciliation, use the same boundary. The row-level group signals that produced detach-only history were removed.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manual-backfill dependency left behind by payout approval hardening. A non-destructive migration now publishes the blocked standard platform ladder when no platform policy exists, so active entities that predate automatic tenant provisioning inherit a safe route. Existing platform and tenant policy remains administrator-owned. A read-only payout_approval_health command resolves policy through the same workflow cascade used by submission, lists every uncovered active ledger entity, and fails the release check until the list is empty. The fallback does not invent approvers: an unstaffed stage still parks and role staffing remains a separate workflow health concern. Module 18 stays Backend Complete and Integration Partial with 21 capability entries. Reconciled to Payments FRD v1.3. Backend evidence and 167 passing Module 18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permission-deactivation gap in Module 4. A grant now confers authority only while its Permission and the PermissionModule, PermissionResource and PermissionAction behind it are active; a group grant additionally requires an active PermissionGroup. Direct roles, groups, personal overrides, group-based gates and permission-based routing use the same predicate. A PostgreSQL-backed registry revision invalidates warm evaluator snapshots across application workers, and affected role versions advance when a registry switch changes. Routing now also refuses inactive roles and legacy restricted ALLOW overrides, so the nominated audience cannot disagree with the authorization gate.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August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Module 14 as built and corrected Module 13, which this document had described as unbuilt for twenty-eight versions after it stopped being so. Timetable &amp; Calendar ships as schools.vs_calendar: eight models and twenty-three endpoints behind eight screens - the calendar hub, events, a term view, rooms, the bell schedule, class timetables, the derived teacher timetable and exam scheduling - with 144 tests. Its three clash rules run over the whole tenant rather than inside the caller's visible branches, because a person cannot be at two branches at once however the school's permissions are arranged; what varies is the detail, and a clash reaching a branch the caller cannot see names the day and the period and neither the other class nor the other room nor any branch id. A clash never refuses a write and the single refusal is on publication, which is why the slot table carries no uniqueness constraint over a teacher or a room. Module 14 moves to Backend Complete with 12 capability entries, and one of them is withdrawn rather than carried forward: "calendar export and notification hooks" becomes export alone, since there is no academics event type, no student record and no guardian record, and both the module's FRD and its design brief forbid the notification half by name. Module 13 moves from Planned to Partial with schools.vs_academics named as its code; effective-dated structure changes and the class-subject-teacher assignment layer are the two capabilities that keep it short of Complete, the second deliberately, because M13 FRD v2.5 withdrew it to wait for Module 12. The onboarding priority gap that Module 13 was blocking closes, and the build order drops Academic Structure and Timetable from what remains. academics.calendar.* - four keys seeded, grouped and granted since M13 and used by nothing - is now what the calendar half runs on, and a new academics.timetable resource adds five more with prebuilt-role defaults and the backfill. The document moves from 462 to 484 capability entries. Reconciled to M14 FRD v3.1.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2.20.1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Document-only patch. Retired the word branch from the text describing current behaviour, in favour of branch. Branch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2.20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stock its location dimension. Stock had been one pool per entity, so a school with two branches held one balance and one average cost per item and an issue at one branch could draw against stock standing at the other, because the availability check measured the entity total. A stock location is now a first-class record with an optional branch,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branch's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v2.42</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v2.42</dc:title>
  <dc:subject>Health analytics authentication and tenant-filter correction</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2.42</cp:version>
</cp:coreProperties>
</file>