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1.4</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86416f4a, 30 September 2026. This revision reconciles the committed requirements queue D51 to D82.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Download, and Log the Refusals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 file must not be authority to read it, and a refused attempt must leave a trace.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download is authorised against the downloader at the moment of download, not against whoever produced or shared the file. ExportDownload records every attempt, allowed and refused alike, because who tried and was told no is exactly the question a compliance review asks and a refusal that leaves no trace cannot be answered. Each attempt records the downloader, the moment, the outcome, any refusal reason and the client IP address it came from.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shared file is refused to a recipient who may not read its contents, and the refusal appears in the download log. A download sent with a forged X-Forwarded-For is logged against the peer address (test_the_log_records_the_peer_address_not_a_forwarded_for_claim).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attempt is recorded,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download attempt: who, when, the outcome, any refusal reason and the client IP address.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Refusals are logged as well as successes. The IP address is the one core.client_ip decides, never a forwarding header.</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when, from which client IP address, and whether they were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or file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Default export date windows end on the school's day. The statutory pack accepts fiscal_year, limits its profit and loss to that year and excludes the closing period; balance-sheet and trial-balance views keep the closing period where applicable.</w:t>
      </w:r>
    </w:p>
    <w:p>
      <w:r>
        <w:t>Needs Attention: generated documents, emails, refusal sentences and file names still do not consistently follow the school's date format and clock. Export file names still use the server UTC day and can disagree with the preview near midnight.</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v2.93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Download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