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pPr>
        <w:spacing w:before="1440" w:after="1280"/>
        <w:jc w:val="left"/>
      </w:pPr>
      <w:r>
        <w:rPr>
          <w:rFonts w:ascii="Aptos Display" w:hAnsi="Aptos Display"/>
          <w:b/>
          <w:color w:val="355B9D"/>
          <w:sz w:val="72"/>
        </w:rPr>
        <w:drawing>
          <wp:inline xmlns:a="http://schemas.openxmlformats.org/drawingml/2006/main" xmlns:pic="http://schemas.openxmlformats.org/drawingml/2006/picture">
            <wp:extent cx="603181" cy="502920"/>
            <wp:docPr id="1" name="Picture 1"/>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603181" cy="502920"/>
                    </a:xfrm>
                    <a:prstGeom prst="rect"/>
                  </pic:spPr>
                </pic:pic>
              </a:graphicData>
            </a:graphic>
          </wp:inline>
        </w:drawing>
      </w:r>
    </w:p>
    <w:tbl>
      <w:tblPr>
        <w:tblW w:type="dxa" w:w="8352"/>
        <w:jc w:val="left"/>
        <w:tblLayout w:type="fixed"/>
        <w:tblLook w:firstColumn="1" w:firstRow="1" w:lastColumn="0" w:lastRow="0" w:noHBand="0" w:noVBand="1" w:val="04A0"/>
      </w:tblPr>
      <w:tblGrid>
        <w:gridCol w:w="8352"/>
      </w:tblGrid>
      <w:tr>
        <w:tc>
          <w:tcPr>
            <w:tcW w:type="dxa" w:w="8352"/>
            <w:shd w:fill="355B9D"/>
            <w:tcBorders>
              <w:top w:val="single" w:sz="10" w:color="000000"/>
              <w:left w:val="single" w:sz="10" w:color="000000"/>
              <w:bottom w:val="single" w:sz="10" w:color="000000"/>
              <w:right w:val="single" w:sz="10" w:color="000000"/>
              <w:insideH w:val="single" w:sz="10" w:color="000000"/>
              <w:insideV w:val="single" w:sz="10" w:color="000000"/>
            </w:tcBorders>
            <w:tcMar>
              <w:top w:w="190" w:type="dxa"/>
              <w:start w:w="180" w:type="dxa"/>
              <w:bottom w:w="190" w:type="dxa"/>
              <w:end w:w="180" w:type="dxa"/>
            </w:tcMar>
          </w:tcPr>
          <w:p>
            <w:pPr>
              <w:spacing w:before="0" w:after="140" w:line="240" w:lineRule="auto"/>
            </w:pPr>
            <w:r>
              <w:rPr>
                <w:rFonts w:ascii="Aptos Display" w:hAnsi="Aptos Display"/>
                <w:b/>
                <w:color w:val="FFFFFF"/>
                <w:sz w:val="40"/>
              </w:rPr>
              <w:t>FUNCTIONAL REQUIREMENTS DOCUMENT</w:t>
            </w:r>
          </w:p>
          <w:p>
            <w:pPr>
              <w:spacing w:before="0" w:after="100" w:line="240" w:lineRule="auto"/>
            </w:pPr>
            <w:r>
              <w:rPr>
                <w:rFonts w:ascii="Aptos Display" w:hAnsi="Aptos Display"/>
                <w:b/>
                <w:color w:val="FFFFFF"/>
                <w:sz w:val="28"/>
              </w:rPr>
              <w:t>Module 1: School &amp; Branch Management</w:t>
            </w:r>
          </w:p>
          <w:p>
            <w:pPr>
              <w:spacing w:before="0" w:after="180" w:line="240" w:lineRule="auto"/>
            </w:pPr>
            <w:r>
              <w:rPr>
                <w:rFonts w:ascii="Aptos Narrow" w:hAnsi="Aptos Narrow"/>
                <w:b w:val="0"/>
                <w:color w:val="FFFFFF"/>
                <w:sz w:val="20"/>
              </w:rPr>
              <w:t>XVision Systems | Code-aligned functional baseline</w:t>
            </w:r>
          </w:p>
          <w:p>
            <w:pPr>
              <w:spacing w:before="0" w:after="0" w:line="240" w:lineRule="auto"/>
            </w:pPr>
            <w:r>
              <w:rPr>
                <w:rFonts w:ascii="Aptos Narrow" w:hAnsi="Aptos Narrow"/>
                <w:b/>
                <w:color w:val="FFFFFF"/>
                <w:sz w:val="19"/>
              </w:rPr>
              <w:t>Prepared by: CodeX Team     Version: 1.7</w:t>
            </w:r>
          </w:p>
        </w:tc>
      </w:tr>
    </w:tbl>
    <w:p>
      <w:pPr>
        <w:spacing w:before="0" w:after="160" w:line="240" w:lineRule="auto"/>
      </w:pPr>
      <w:r>
        <w:rPr>
          <w:rFonts w:ascii="Aptos Display" w:hAnsi="Aptos Display"/>
          <w:b/>
          <w:color w:val="355B9D"/>
          <w:sz w:val="52"/>
        </w:rPr>
        <w:t>2026</w:t>
      </w:r>
    </w:p>
    <w:p>
      <w:pPr>
        <w:spacing w:before="0" w:after="100" w:line="240" w:lineRule="auto"/>
        <w:jc w:val="left"/>
      </w:pPr>
      <w:r>
        <w:rPr>
          <w:rFonts w:ascii="Aptos Narrow" w:hAnsi="Aptos Narrow"/>
          <w:b w:val="0"/>
          <w:color w:val="5E6B7A"/>
          <w:sz w:val="18"/>
        </w:rPr>
        <w:t>Internal Documentation</w:t>
      </w:r>
    </w:p>
    <w:p>
      <w:r>
        <w:br w:type="page"/>
      </w:r>
    </w:p>
    <w:p>
      <w:pPr>
        <w:pStyle w:val="Heading1"/>
        <w:spacing w:before="300" w:after="160" w:line="240" w:lineRule="auto"/>
        <w:keepNext/>
        <w:pBdr>
          <w:bottom w:val="single" w:sz="14" w:space="5" w:color="355B9D"/>
        </w:pBdr>
      </w:pPr>
      <w:r>
        <w:rPr>
          <w:rFonts w:ascii="Aptos Narrow" w:hAnsi="Aptos Narrow"/>
          <w:b/>
          <w:color w:val="000000"/>
          <w:sz w:val="34"/>
        </w:rPr>
        <w:t>Document Control</w:t>
      </w:r>
    </w:p>
    <w:tbl>
      <w:tblPr>
        <w:tblW w:type="dxa" w:w="10468"/>
        <w:jc w:val="center"/>
        <w:tblLayout w:type="fixed"/>
        <w:tblLook w:firstColumn="1" w:firstRow="1" w:lastColumn="0" w:lastRow="0" w:noHBand="0" w:noVBand="1" w:val="04A0"/>
      </w:tblPr>
      <w:tblGrid>
        <w:gridCol w:w="2520"/>
        <w:gridCol w:w="7948"/>
      </w:tblGrid>
      <w:tr>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355B9D"/>
          </w:tcPr>
          <w:p>
            <w:pPr>
              <w:spacing w:before="0" w:after="0" w:line="240" w:lineRule="auto"/>
              <w:jc w:val="left"/>
            </w:pPr>
            <w:r>
              <w:rPr>
                <w:rFonts w:ascii="Aptos Narrow" w:hAnsi="Aptos Narrow"/>
                <w:b/>
                <w:color w:val="FFFFFF"/>
                <w:sz w:val="17"/>
              </w:rPr>
              <w:t>Document</w:t>
            </w:r>
          </w:p>
        </w:tc>
        <w:tc>
          <w:tcPr>
            <w:tcW w:type="dxa" w:w="794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7"/>
              </w:rPr>
              <w:t>Functional Requirements Document (FRD)</w:t>
            </w:r>
          </w:p>
        </w:tc>
      </w:tr>
      <w:tr>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355B9D"/>
          </w:tcPr>
          <w:p>
            <w:pPr>
              <w:spacing w:before="0" w:after="0" w:line="240" w:lineRule="auto"/>
              <w:jc w:val="left"/>
            </w:pPr>
            <w:r>
              <w:rPr>
                <w:rFonts w:ascii="Aptos Narrow" w:hAnsi="Aptos Narrow"/>
                <w:b/>
                <w:color w:val="FFFFFF"/>
                <w:sz w:val="17"/>
              </w:rPr>
              <w:t>Module</w:t>
            </w:r>
          </w:p>
        </w:tc>
        <w:tc>
          <w:tcPr>
            <w:tcW w:type="dxa" w:w="794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7"/>
              </w:rPr>
              <w:t>M01 | School &amp; Branch Management</w:t>
            </w:r>
          </w:p>
        </w:tc>
      </w:tr>
      <w:tr>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355B9D"/>
          </w:tcPr>
          <w:p>
            <w:pPr>
              <w:spacing w:before="0" w:after="0" w:line="240" w:lineRule="auto"/>
              <w:jc w:val="left"/>
            </w:pPr>
            <w:r>
              <w:rPr>
                <w:rFonts w:ascii="Aptos Narrow" w:hAnsi="Aptos Narrow"/>
                <w:b/>
                <w:color w:val="FFFFFF"/>
                <w:sz w:val="17"/>
              </w:rPr>
              <w:t>Version</w:t>
            </w:r>
          </w:p>
        </w:tc>
        <w:tc>
          <w:tcPr>
            <w:tcW w:type="dxa" w:w="794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7"/>
              </w:rPr>
              <w:t>1.7</w:t>
            </w:r>
          </w:p>
        </w:tc>
      </w:tr>
      <w:tr>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355B9D"/>
          </w:tcPr>
          <w:p>
            <w:pPr>
              <w:spacing w:before="0" w:after="0" w:line="240" w:lineRule="auto"/>
              <w:jc w:val="left"/>
            </w:pPr>
            <w:r>
              <w:rPr>
                <w:rFonts w:ascii="Aptos Narrow" w:hAnsi="Aptos Narrow"/>
                <w:b/>
                <w:color w:val="FFFFFF"/>
                <w:sz w:val="17"/>
              </w:rPr>
              <w:t>Review date</w:t>
            </w:r>
          </w:p>
        </w:tc>
        <w:tc>
          <w:tcPr>
            <w:tcW w:type="dxa" w:w="794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7"/>
              </w:rPr>
              <w:t>18 August 2026</w:t>
            </w:r>
          </w:p>
        </w:tc>
      </w:tr>
      <w:tr>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355B9D"/>
          </w:tcPr>
          <w:p>
            <w:pPr>
              <w:spacing w:before="0" w:after="0" w:line="240" w:lineRule="auto"/>
              <w:jc w:val="left"/>
            </w:pPr>
            <w:r>
              <w:rPr>
                <w:rFonts w:ascii="Aptos Narrow" w:hAnsi="Aptos Narrow"/>
                <w:b/>
                <w:color w:val="FFFFFF"/>
                <w:sz w:val="17"/>
              </w:rPr>
              <w:t>Code baseline</w:t>
            </w:r>
          </w:p>
        </w:tc>
        <w:tc>
          <w:tcPr>
            <w:tcW w:type="dxa" w:w="794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7"/>
              </w:rPr>
              <w:t>Backend main at 0699ada (18 August 2026)</w:t>
            </w:r>
          </w:p>
        </w:tc>
      </w:tr>
      <w:tr>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355B9D"/>
          </w:tcPr>
          <w:p>
            <w:pPr>
              <w:spacing w:before="0" w:after="0" w:line="240" w:lineRule="auto"/>
              <w:jc w:val="left"/>
            </w:pPr>
            <w:r>
              <w:rPr>
                <w:rFonts w:ascii="Aptos Narrow" w:hAnsi="Aptos Narrow"/>
                <w:b/>
                <w:color w:val="FFFFFF"/>
                <w:sz w:val="17"/>
              </w:rPr>
              <w:t>Source MRD</w:t>
            </w:r>
          </w:p>
        </w:tc>
        <w:tc>
          <w:tcPr>
            <w:tcW w:type="dxa" w:w="794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7"/>
              </w:rPr>
              <w:t>XVS Module Requirements Document v2.18 | Module 1</w:t>
            </w:r>
          </w:p>
        </w:tc>
      </w:tr>
      <w:tr>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355B9D"/>
          </w:tcPr>
          <w:p>
            <w:pPr>
              <w:spacing w:before="0" w:after="0" w:line="240" w:lineRule="auto"/>
              <w:jc w:val="left"/>
            </w:pPr>
            <w:r>
              <w:rPr>
                <w:rFonts w:ascii="Aptos Narrow" w:hAnsi="Aptos Narrow"/>
                <w:b/>
                <w:color w:val="FFFFFF"/>
                <w:sz w:val="17"/>
              </w:rPr>
              <w:t>Primary app</w:t>
            </w:r>
          </w:p>
        </w:tc>
        <w:tc>
          <w:tcPr>
            <w:tcW w:type="dxa" w:w="794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7"/>
              </w:rPr>
              <w:t>vs_schools</w:t>
            </w:r>
          </w:p>
        </w:tc>
      </w:tr>
      <w:tr>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355B9D"/>
          </w:tcPr>
          <w:p>
            <w:pPr>
              <w:spacing w:before="0" w:after="0" w:line="240" w:lineRule="auto"/>
              <w:jc w:val="left"/>
            </w:pPr>
            <w:r>
              <w:rPr>
                <w:rFonts w:ascii="Aptos Narrow" w:hAnsi="Aptos Narrow"/>
                <w:b/>
                <w:color w:val="FFFFFF"/>
                <w:sz w:val="17"/>
              </w:rPr>
              <w:t>Supporting apps</w:t>
            </w:r>
          </w:p>
        </w:tc>
        <w:tc>
          <w:tcPr>
            <w:tcW w:type="dxa" w:w="794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7"/>
              </w:rPr>
              <w:t>vs_tenants, vs_config, vs_rbac, vs_user, vs_audit, vs_import_data, vs_finance, schools/vs_onboarding, core</w:t>
            </w:r>
          </w:p>
        </w:tc>
      </w:tr>
      <w:tr>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355B9D"/>
          </w:tcPr>
          <w:p>
            <w:pPr>
              <w:spacing w:before="0" w:after="0" w:line="240" w:lineRule="auto"/>
              <w:jc w:val="left"/>
            </w:pPr>
            <w:r>
              <w:rPr>
                <w:rFonts w:ascii="Aptos Narrow" w:hAnsi="Aptos Narrow"/>
                <w:b/>
                <w:color w:val="FFFFFF"/>
                <w:sz w:val="17"/>
              </w:rPr>
              <w:t>Status</w:t>
            </w:r>
          </w:p>
        </w:tc>
        <w:tc>
          <w:tcPr>
            <w:tcW w:type="dxa" w:w="794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7"/>
              </w:rPr>
              <w:t>Code-aligned baseline for Product and Engineering review</w:t>
            </w:r>
          </w:p>
        </w:tc>
      </w:tr>
      <w:tr>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355B9D"/>
          </w:tcPr>
          <w:p>
            <w:pPr>
              <w:spacing w:before="0" w:after="0" w:line="240" w:lineRule="auto"/>
              <w:jc w:val="left"/>
            </w:pPr>
            <w:r>
              <w:rPr>
                <w:rFonts w:ascii="Aptos Narrow" w:hAnsi="Aptos Narrow"/>
                <w:b/>
                <w:color w:val="FFFFFF"/>
                <w:sz w:val="17"/>
              </w:rPr>
              <w:t>Owner</w:t>
            </w:r>
          </w:p>
        </w:tc>
        <w:tc>
          <w:tcPr>
            <w:tcW w:type="dxa" w:w="794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7"/>
              </w:rPr>
              <w:t>CodeX Team</w:t>
            </w:r>
          </w:p>
        </w:tc>
      </w:tr>
    </w:tbl>
    <w:tbl>
      <w:tblPr>
        <w:tblW w:type="dxa" w:w="10468"/>
        <w:jc w:val="center"/>
        <w:tblLayout w:type="fixed"/>
        <w:tblLook w:firstColumn="1" w:firstRow="1" w:lastColumn="0" w:lastRow="0" w:noHBand="0" w:noVBand="1" w:val="04A0"/>
      </w:tblPr>
      <w:tblGrid>
        <w:gridCol w:w="10468"/>
      </w:tblGrid>
      <w:tr>
        <w:tc>
          <w:tcPr>
            <w:tcW w:type="dxa" w:w="10469"/>
            <w:shd w:fill="EAF0FA"/>
            <w:tcBorders>
              <w:top w:val="single" w:sz="9" w:color="355B9D"/>
              <w:left w:val="single" w:sz="9" w:color="355B9D"/>
              <w:bottom w:val="single" w:sz="9" w:color="355B9D"/>
              <w:right w:val="single" w:sz="9" w:color="355B9D"/>
              <w:insideH w:val="single" w:sz="9" w:color="355B9D"/>
              <w:insideV w:val="single" w:sz="9" w:color="355B9D"/>
            </w:tcBorders>
            <w:tcMar>
              <w:top w:w="100" w:type="dxa"/>
              <w:start w:w="120" w:type="dxa"/>
              <w:bottom w:w="100" w:type="dxa"/>
              <w:end w:w="120" w:type="dxa"/>
            </w:tcMar>
          </w:tcPr>
          <w:p>
            <w:pPr>
              <w:spacing w:before="0" w:after="60" w:line="240" w:lineRule="auto"/>
            </w:pPr>
            <w:r>
              <w:rPr>
                <w:rFonts w:ascii="Aptos Narrow" w:hAnsi="Aptos Narrow"/>
                <w:b/>
                <w:color w:val="355B9D"/>
                <w:sz w:val="18"/>
              </w:rPr>
              <w:t>EVIDENCE BOUNDARY</w:t>
            </w:r>
          </w:p>
          <w:p>
            <w:pPr>
              <w:spacing w:before="0" w:after="40" w:line="240" w:lineRule="auto"/>
            </w:pPr>
            <w:r>
              <w:rPr>
                <w:rFonts w:ascii="Aptos Narrow" w:hAnsi="Aptos Narrow"/>
                <w:b w:val="0"/>
                <w:color w:val="000000"/>
                <w:sz w:val="17"/>
              </w:rPr>
              <w:t>• Implemented means the stated backend path is present in the inspected code. It does not prove frontend completion, deployment, production adoption, or data migration.</w:t>
            </w:r>
          </w:p>
          <w:p>
            <w:pPr>
              <w:spacing w:before="0" w:after="40" w:line="240" w:lineRule="auto"/>
            </w:pPr>
            <w:r>
              <w:rPr>
                <w:rFonts w:ascii="Aptos Narrow" w:hAnsi="Aptos Narrow"/>
                <w:b w:val="0"/>
                <w:color w:val="000000"/>
                <w:sz w:val="17"/>
              </w:rPr>
              <w:t>• Partial, Defective, and Not implemented items are current requirements and risks, not historical notes.</w:t>
            </w:r>
          </w:p>
          <w:p>
            <w:pPr>
              <w:spacing w:before="0" w:after="40" w:line="240" w:lineRule="auto"/>
            </w:pPr>
            <w:r>
              <w:rPr>
                <w:rFonts w:ascii="Aptos Narrow" w:hAnsi="Aptos Narrow"/>
                <w:b w:val="0"/>
                <w:color w:val="000000"/>
                <w:sz w:val="17"/>
              </w:rPr>
              <w:t>• The MRD and this FRD have independent versions. A change can require one or both documents to advance.</w:t>
            </w:r>
          </w:p>
        </w:tc>
      </w:tr>
    </w:tbl>
    <w:p>
      <w:r>
        <w:br w:type="page"/>
      </w:r>
    </w:p>
    <w:p>
      <w:pPr>
        <w:pStyle w:val="Heading1"/>
        <w:spacing w:before="300" w:after="160" w:line="240" w:lineRule="auto"/>
        <w:keepNext/>
        <w:pBdr>
          <w:bottom w:val="single" w:sz="14" w:space="5" w:color="355B9D"/>
        </w:pBdr>
      </w:pPr>
      <w:r>
        <w:rPr>
          <w:rFonts w:ascii="Aptos Narrow" w:hAnsi="Aptos Narrow"/>
          <w:b/>
          <w:color w:val="000000"/>
          <w:sz w:val="34"/>
        </w:rPr>
        <w:t>Table of Contents</w:t>
      </w:r>
    </w:p>
    <w:tbl>
      <w:tblPr>
        <w:tblW w:type="dxa" w:w="10468"/>
        <w:jc w:val="center"/>
        <w:tblLayout w:type="fixed"/>
        <w:tblLook w:firstColumn="1" w:firstRow="1" w:lastColumn="0" w:lastRow="0" w:noHBand="0" w:noVBand="1" w:val="04A0"/>
      </w:tblPr>
      <w:tblGrid>
        <w:gridCol w:w="3384"/>
        <w:gridCol w:w="7084"/>
      </w:tblGrid>
      <w:tr>
        <w:trPr>
          <w:tblHeader w:val="true"/>
        </w:trPr>
        <w:tc>
          <w:tcPr>
            <w:tcW w:type="dxa" w:w="3384"/>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Section</w:t>
            </w:r>
          </w:p>
        </w:tc>
        <w:tc>
          <w:tcPr>
            <w:tcW w:type="dxa" w:w="7085"/>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Purpose</w:t>
            </w:r>
          </w:p>
        </w:tc>
      </w:tr>
      <w:tr>
        <w:tc>
          <w:tcPr>
            <w:tcW w:type="dxa" w:w="33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7"/>
              </w:rPr>
              <w:t>Document Control</w:t>
            </w:r>
          </w:p>
        </w:tc>
        <w:tc>
          <w:tcPr>
            <w:tcW w:type="dxa" w:w="70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7"/>
              </w:rPr>
              <w:t>Version, ownership, source baseline, and evidence rules</w:t>
            </w:r>
          </w:p>
        </w:tc>
      </w:tr>
      <w:tr>
        <w:tc>
          <w:tcPr>
            <w:tcW w:type="dxa" w:w="33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7"/>
              </w:rPr>
              <w:t>1. Purpose and Scope</w:t>
            </w:r>
          </w:p>
        </w:tc>
        <w:tc>
          <w:tcPr>
            <w:tcW w:type="dxa" w:w="70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7"/>
              </w:rPr>
              <w:t>Module responsibility, boundaries, and terminology</w:t>
            </w:r>
          </w:p>
        </w:tc>
      </w:tr>
      <w:tr>
        <w:tc>
          <w:tcPr>
            <w:tcW w:type="dxa" w:w="33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7"/>
              </w:rPr>
              <w:t>2. Context and Status Model</w:t>
            </w:r>
          </w:p>
        </w:tc>
        <w:tc>
          <w:tcPr>
            <w:tcW w:type="dxa" w:w="70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7"/>
              </w:rPr>
              <w:t>Architecture position and requirement-state definitions</w:t>
            </w:r>
          </w:p>
        </w:tc>
      </w:tr>
      <w:tr>
        <w:tc>
          <w:tcPr>
            <w:tcW w:type="dxa" w:w="33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7"/>
              </w:rPr>
              <w:t>3. Actors, Permissions, and Ownership</w:t>
            </w:r>
          </w:p>
        </w:tc>
        <w:tc>
          <w:tcPr>
            <w:tcW w:type="dxa" w:w="70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7"/>
              </w:rPr>
              <w:t>Who can act and how School, Tenant, and Branch scope work</w:t>
            </w:r>
          </w:p>
        </w:tc>
      </w:tr>
      <w:tr>
        <w:tc>
          <w:tcPr>
            <w:tcW w:type="dxa" w:w="33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7"/>
              </w:rPr>
              <w:t>4. Functional Requirements</w:t>
            </w:r>
          </w:p>
        </w:tc>
        <w:tc>
          <w:tcPr>
            <w:tcW w:type="dxa" w:w="70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7"/>
              </w:rPr>
              <w:t>Testable behavior, current evidence, acceptance, and limits</w:t>
            </w:r>
          </w:p>
        </w:tc>
      </w:tr>
      <w:tr>
        <w:tc>
          <w:tcPr>
            <w:tcW w:type="dxa" w:w="33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7"/>
              </w:rPr>
              <w:t>5. Workflows and Lifecycle Rules</w:t>
            </w:r>
          </w:p>
        </w:tc>
        <w:tc>
          <w:tcPr>
            <w:tcW w:type="dxa" w:w="70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7"/>
              </w:rPr>
              <w:t>School creation, Branch transition, and reset behavior</w:t>
            </w:r>
          </w:p>
        </w:tc>
      </w:tr>
      <w:tr>
        <w:tc>
          <w:tcPr>
            <w:tcW w:type="dxa" w:w="33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7"/>
              </w:rPr>
              <w:t>6. Data Model and Relationships</w:t>
            </w:r>
          </w:p>
        </w:tc>
        <w:tc>
          <w:tcPr>
            <w:tcW w:type="dxa" w:w="70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7"/>
              </w:rPr>
              <w:t>Persisted ownership and safety contracts</w:t>
            </w:r>
          </w:p>
        </w:tc>
      </w:tr>
      <w:tr>
        <w:tc>
          <w:tcPr>
            <w:tcW w:type="dxa" w:w="33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7"/>
              </w:rPr>
              <w:t>7. API and Validation Contracts</w:t>
            </w:r>
          </w:p>
        </w:tc>
        <w:tc>
          <w:tcPr>
            <w:tcW w:type="dxa" w:w="70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7"/>
              </w:rPr>
              <w:t>Routes, permissions, inputs, and response behavior</w:t>
            </w:r>
          </w:p>
        </w:tc>
      </w:tr>
      <w:tr>
        <w:tc>
          <w:tcPr>
            <w:tcW w:type="dxa" w:w="33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7"/>
              </w:rPr>
              <w:t>8. Dependencies and Operational Evidence</w:t>
            </w:r>
          </w:p>
        </w:tc>
        <w:tc>
          <w:tcPr>
            <w:tcW w:type="dxa" w:w="70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7"/>
              </w:rPr>
              <w:t>Configuration, audit, identity, import, and delivery contracts</w:t>
            </w:r>
          </w:p>
        </w:tc>
      </w:tr>
      <w:tr>
        <w:tc>
          <w:tcPr>
            <w:tcW w:type="dxa" w:w="33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7"/>
              </w:rPr>
              <w:t>9. Needs Attention</w:t>
            </w:r>
          </w:p>
        </w:tc>
        <w:tc>
          <w:tcPr>
            <w:tcW w:type="dxa" w:w="70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7"/>
              </w:rPr>
              <w:t>Current defects and required completion</w:t>
            </w:r>
          </w:p>
        </w:tc>
      </w:tr>
      <w:tr>
        <w:tc>
          <w:tcPr>
            <w:tcW w:type="dxa" w:w="33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7"/>
              </w:rPr>
              <w:t>10. MRD Traceability</w:t>
            </w:r>
          </w:p>
        </w:tc>
        <w:tc>
          <w:tcPr>
            <w:tcW w:type="dxa" w:w="70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7"/>
              </w:rPr>
              <w:t>Module 1 capability mapping</w:t>
            </w:r>
          </w:p>
        </w:tc>
      </w:tr>
      <w:tr>
        <w:tc>
          <w:tcPr>
            <w:tcW w:type="dxa" w:w="33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7"/>
              </w:rPr>
              <w:t>11. Change Log</w:t>
            </w:r>
          </w:p>
        </w:tc>
        <w:tc>
          <w:tcPr>
            <w:tcW w:type="dxa" w:w="70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7"/>
              </w:rPr>
              <w:t>Independent FRD revision history</w:t>
            </w:r>
          </w:p>
        </w:tc>
      </w:tr>
    </w:tbl>
    <w:p>
      <w:pPr>
        <w:spacing w:before="0" w:after="100" w:line="240" w:lineRule="auto"/>
        <w:jc w:val="left"/>
      </w:pPr>
      <w:r>
        <w:rPr>
          <w:rFonts w:ascii="Aptos Narrow" w:hAnsi="Aptos Narrow"/>
          <w:b w:val="0"/>
          <w:color w:val="5E6B7A"/>
          <w:sz w:val="17"/>
        </w:rPr>
        <w:t>Use the Word Navigation pane to jump between headings. This contents page is intentionally static for reliable headless rendering.</w:t>
      </w:r>
    </w:p>
    <w:p>
      <w:r>
        <w:br w:type="page"/>
      </w:r>
    </w:p>
    <w:p>
      <w:pPr>
        <w:pStyle w:val="Heading1"/>
        <w:spacing w:before="300" w:after="160" w:line="240" w:lineRule="auto"/>
        <w:keepNext/>
        <w:pBdr>
          <w:bottom w:val="single" w:sz="14" w:space="5" w:color="355B9D"/>
        </w:pBdr>
      </w:pPr>
      <w:r>
        <w:rPr>
          <w:rFonts w:ascii="Aptos Narrow" w:hAnsi="Aptos Narrow"/>
          <w:b/>
          <w:color w:val="000000"/>
          <w:sz w:val="34"/>
        </w:rPr>
        <w:t>1. Purpose and Scope</w:t>
      </w:r>
    </w:p>
    <w:p>
      <w:pPr>
        <w:spacing w:before="0" w:after="100" w:line="240" w:lineRule="auto"/>
        <w:jc w:val="left"/>
      </w:pPr>
      <w:r>
        <w:rPr>
          <w:rFonts w:ascii="Aptos Narrow" w:hAnsi="Aptos Narrow"/>
          <w:b w:val="0"/>
          <w:color w:val="000000"/>
          <w:sz w:val="18"/>
        </w:rPr>
        <w:t>This FRD defines the functional behavior of Module 1 as required and as currently evidenced in the XVS backend. It turns the Module 1 MRD capability list into testable rules for School identity, Tenant ownership, Branch administration, onboarding, access control, configuration, lifecycle operations, and operational evidence.</w:t>
      </w:r>
    </w:p>
    <w:p>
      <w:pPr>
        <w:pStyle w:val="Heading2"/>
        <w:spacing w:before="220" w:after="120" w:line="240" w:lineRule="auto"/>
        <w:keepNext/>
        <w:pBdr>
          <w:bottom w:val="single" w:sz="8" w:space="5" w:color="355B9D"/>
        </w:pBdr>
      </w:pPr>
      <w:r>
        <w:rPr>
          <w:rFonts w:ascii="Aptos Narrow" w:hAnsi="Aptos Narrow"/>
          <w:b/>
          <w:color w:val="000000"/>
          <w:sz w:val="27"/>
        </w:rPr>
        <w:t>1.1 In Scope</w:t>
      </w:r>
    </w:p>
    <w:p>
      <w:pPr>
        <w:spacing w:before="0" w:after="40" w:line="240" w:lineRule="auto"/>
        <w:ind w:left="288" w:hanging="202"/>
      </w:pPr>
      <w:r>
        <w:rPr>
          <w:rFonts w:ascii="Aptos Narrow" w:hAnsi="Aptos Narrow"/>
          <w:b w:val="0"/>
          <w:color w:val="000000"/>
          <w:sz w:val="18"/>
        </w:rPr>
        <w:t>• School and paired Tenant creation, identifiers, metadata, status, and branding.</w:t>
      </w:r>
    </w:p>
    <w:p>
      <w:pPr>
        <w:spacing w:before="0" w:after="40" w:line="240" w:lineRule="auto"/>
        <w:ind w:left="288" w:hanging="202"/>
      </w:pPr>
      <w:r>
        <w:rPr>
          <w:rFonts w:ascii="Aptos Narrow" w:hAnsi="Aptos Narrow"/>
          <w:b w:val="0"/>
          <w:color w:val="000000"/>
          <w:sz w:val="18"/>
        </w:rPr>
        <w:t>• Branch creation, identity, main-Branch designation, administrators, statistics, and lifecycle records.</w:t>
      </w:r>
    </w:p>
    <w:p>
      <w:pPr>
        <w:spacing w:before="0" w:after="40" w:line="240" w:lineRule="auto"/>
        <w:ind w:left="288" w:hanging="202"/>
      </w:pPr>
      <w:r>
        <w:rPr>
          <w:rFonts w:ascii="Aptos Narrow" w:hAnsi="Aptos Narrow"/>
          <w:b w:val="0"/>
          <w:color w:val="000000"/>
          <w:sz w:val="18"/>
        </w:rPr>
        <w:t>• Package capacity, module entitlements, dependency resolution, and scoped overrides used during onboarding.</w:t>
      </w:r>
    </w:p>
    <w:p>
      <w:pPr>
        <w:spacing w:before="0" w:after="40" w:line="240" w:lineRule="auto"/>
        <w:ind w:left="288" w:hanging="202"/>
      </w:pPr>
      <w:r>
        <w:rPr>
          <w:rFonts w:ascii="Aptos Narrow" w:hAnsi="Aptos Narrow"/>
          <w:b w:val="0"/>
          <w:color w:val="000000"/>
          <w:sz w:val="18"/>
        </w:rPr>
        <w:t>• Platform permissions, tenant isolation, Branch scoping, audit evidence, validation, and API contracts.</w:t>
      </w:r>
    </w:p>
    <w:p>
      <w:pPr>
        <w:spacing w:before="0" w:after="40" w:line="240" w:lineRule="auto"/>
        <w:ind w:left="288" w:hanging="202"/>
      </w:pPr>
      <w:r>
        <w:rPr>
          <w:rFonts w:ascii="Aptos Narrow" w:hAnsi="Aptos Narrow"/>
          <w:b w:val="0"/>
          <w:color w:val="000000"/>
          <w:sz w:val="18"/>
        </w:rPr>
        <w:t>• Required lifecycle, reset, transfer, clone, and deletion behavior that is incomplete or defective today.</w:t>
      </w:r>
    </w:p>
    <w:p>
      <w:pPr>
        <w:pStyle w:val="Heading2"/>
        <w:spacing w:before="220" w:after="120" w:line="240" w:lineRule="auto"/>
        <w:keepNext/>
        <w:pBdr>
          <w:bottom w:val="single" w:sz="8" w:space="5" w:color="355B9D"/>
        </w:pBdr>
      </w:pPr>
      <w:r>
        <w:rPr>
          <w:rFonts w:ascii="Aptos Narrow" w:hAnsi="Aptos Narrow"/>
          <w:b/>
          <w:color w:val="000000"/>
          <w:sz w:val="27"/>
        </w:rPr>
        <w:t>1.2 Out of Scope and Relocated Responsibilities</w:t>
      </w:r>
    </w:p>
    <w:tbl>
      <w:tblPr>
        <w:tblW w:type="dxa" w:w="10468"/>
        <w:jc w:val="center"/>
        <w:tblLayout w:type="fixed"/>
        <w:tblLook w:firstColumn="1" w:firstRow="1" w:lastColumn="0" w:lastRow="0" w:noHBand="0" w:noVBand="1" w:val="04A0"/>
      </w:tblPr>
      <w:tblGrid>
        <w:gridCol w:w="3528"/>
        <w:gridCol w:w="6940"/>
      </w:tblGrid>
      <w:tr>
        <w:trPr>
          <w:tblHeader w:val="true"/>
        </w:trPr>
        <w:tc>
          <w:tcPr>
            <w:tcW w:type="dxa" w:w="3528"/>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Responsibility</w:t>
            </w:r>
          </w:p>
        </w:tc>
        <w:tc>
          <w:tcPr>
            <w:tcW w:type="dxa" w:w="6941"/>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Owner / Decision</w:t>
            </w:r>
          </w:p>
        </w:tc>
      </w:tr>
      <w:tr>
        <w:tc>
          <w:tcPr>
            <w:tcW w:type="dxa" w:w="352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Student and staff records</w:t>
            </w:r>
          </w:p>
        </w:tc>
        <w:tc>
          <w:tcPr>
            <w:tcW w:type="dxa" w:w="694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Future Student Management and Staff Management modules. Module 1 only supplies School and Branch ownership boundaries.</w:t>
            </w:r>
          </w:p>
        </w:tc>
      </w:tr>
      <w:tr>
        <w:tc>
          <w:tcPr>
            <w:tcW w:type="dxa" w:w="352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General identity and authentication</w:t>
            </w:r>
          </w:p>
        </w:tc>
        <w:tc>
          <w:tcPr>
            <w:tcW w:type="dxa" w:w="694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Identity, Team &amp; Organogram. This FRD covers only primary admin provisioning and access effects of School lifecycle.</w:t>
            </w:r>
          </w:p>
        </w:tc>
      </w:tr>
      <w:tr>
        <w:tc>
          <w:tcPr>
            <w:tcW w:type="dxa" w:w="352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Capability catalogue and configuration storage</w:t>
            </w:r>
          </w:p>
        </w:tc>
        <w:tc>
          <w:tcPr>
            <w:tcW w:type="dxa" w:w="694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Configuration &amp; Capability Management. This FRD records the School and Branch contracts that consume it.</w:t>
            </w:r>
          </w:p>
        </w:tc>
      </w:tr>
      <w:tr>
        <w:tc>
          <w:tcPr>
            <w:tcW w:type="dxa" w:w="352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Generic audit search and export</w:t>
            </w:r>
          </w:p>
        </w:tc>
        <w:tc>
          <w:tcPr>
            <w:tcW w:type="dxa" w:w="694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Audit &amp; Activity Logging. This FRD specifies which School and Branch events must be emitted.</w:t>
            </w:r>
          </w:p>
        </w:tc>
      </w:tr>
      <w:tr>
        <w:tc>
          <w:tcPr>
            <w:tcW w:type="dxa" w:w="352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Bulk import orchestration</w:t>
            </w:r>
          </w:p>
        </w:tc>
        <w:tc>
          <w:tcPr>
            <w:tcW w:type="dxa" w:w="694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Bulk Data Import. It must reuse the validated School and Branch creation contracts.</w:t>
            </w:r>
          </w:p>
        </w:tc>
      </w:tr>
    </w:tbl>
    <w:p>
      <w:pPr>
        <w:pStyle w:val="Heading1"/>
        <w:spacing w:before="300" w:after="160" w:line="240" w:lineRule="auto"/>
        <w:keepNext/>
        <w:pBdr>
          <w:bottom w:val="single" w:sz="14" w:space="5" w:color="355B9D"/>
        </w:pBdr>
      </w:pPr>
      <w:r>
        <w:rPr>
          <w:rFonts w:ascii="Aptos Narrow" w:hAnsi="Aptos Narrow"/>
          <w:b/>
          <w:color w:val="000000"/>
          <w:sz w:val="34"/>
        </w:rPr>
        <w:t>2. Context and Status Model</w:t>
      </w:r>
    </w:p>
    <w:p>
      <w:pPr>
        <w:spacing w:before="0" w:after="100" w:line="240" w:lineRule="auto"/>
        <w:jc w:val="left"/>
      </w:pPr>
      <w:r>
        <w:rPr>
          <w:rFonts w:ascii="Aptos Narrow" w:hAnsi="Aptos Narrow"/>
          <w:b w:val="0"/>
          <w:color w:val="000000"/>
          <w:sz w:val="18"/>
        </w:rPr>
        <w:t>A School is the operator-facing business identity. Its one-to-one Tenant is the durable security boundary used by authentication, RBAC, configuration, workflow, finance, procurement, notifications, support, and every tenant-aware domain. Branches represent campuses or operating locations, and they hang off that Tenant rather than off the School: a School reaches its sites through its tenant id.</w:t>
      </w:r>
    </w:p>
    <w:p>
      <w:pPr>
        <w:pStyle w:val="Heading2"/>
        <w:spacing w:before="220" w:after="120" w:line="240" w:lineRule="auto"/>
        <w:keepNext/>
        <w:pBdr>
          <w:bottom w:val="single" w:sz="8" w:space="5" w:color="355B9D"/>
        </w:pBdr>
      </w:pPr>
      <w:r>
        <w:rPr>
          <w:rFonts w:ascii="Aptos Narrow" w:hAnsi="Aptos Narrow"/>
          <w:b/>
          <w:color w:val="000000"/>
          <w:sz w:val="27"/>
        </w:rPr>
        <w:t>2.1 Status Model</w:t>
      </w:r>
    </w:p>
    <w:tbl>
      <w:tblPr>
        <w:tblW w:type="dxa" w:w="10468"/>
        <w:jc w:val="center"/>
        <w:tblLayout w:type="fixed"/>
        <w:tblLook w:firstColumn="1" w:firstRow="1" w:lastColumn="0" w:lastRow="0" w:noHBand="0" w:noVBand="1" w:val="04A0"/>
      </w:tblPr>
      <w:tblGrid>
        <w:gridCol w:w="2520"/>
        <w:gridCol w:w="7948"/>
      </w:tblGrid>
      <w:tr>
        <w:trPr>
          <w:tblHeader w:val="true"/>
        </w:trPr>
        <w:tc>
          <w:tcPr>
            <w:tcW w:type="dxa" w:w="2520"/>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State</w:t>
            </w:r>
          </w:p>
        </w:tc>
        <w:tc>
          <w:tcPr>
            <w:tcW w:type="dxa" w:w="7949"/>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Meaning</w:t>
            </w:r>
          </w:p>
        </w:tc>
      </w:tr>
      <w:tr>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E4F3EA"/>
          </w:tcPr>
          <w:p>
            <w:pPr>
              <w:spacing w:before="0" w:after="0" w:line="240" w:lineRule="auto"/>
              <w:jc w:val="left"/>
            </w:pPr>
            <w:r>
              <w:rPr>
                <w:rFonts w:ascii="Aptos Narrow" w:hAnsi="Aptos Narrow"/>
                <w:b/>
                <w:color w:val="1F7A4D"/>
                <w:sz w:val="17"/>
              </w:rPr>
              <w:t>Implemented</w:t>
            </w:r>
          </w:p>
        </w:tc>
        <w:tc>
          <w:tcPr>
            <w:tcW w:type="dxa" w:w="794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7"/>
              </w:rPr>
              <w:t>The code path exists and supports the stated core behavior.</w:t>
            </w:r>
          </w:p>
        </w:tc>
      </w:tr>
      <w:tr>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E4F3EA"/>
          </w:tcPr>
          <w:p>
            <w:pPr>
              <w:spacing w:before="0" w:after="0" w:line="240" w:lineRule="auto"/>
              <w:jc w:val="left"/>
            </w:pPr>
            <w:r>
              <w:rPr>
                <w:rFonts w:ascii="Aptos Narrow" w:hAnsi="Aptos Narrow"/>
                <w:b/>
                <w:color w:val="1F7A4D"/>
                <w:sz w:val="17"/>
              </w:rPr>
              <w:t>Implemented with limits</w:t>
            </w:r>
          </w:p>
        </w:tc>
        <w:tc>
          <w:tcPr>
            <w:tcW w:type="dxa" w:w="794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7"/>
              </w:rPr>
              <w:t>The main path exists, but a material edge case or operational control remains.</w:t>
            </w:r>
          </w:p>
        </w:tc>
      </w:tr>
      <w:tr>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3D6"/>
          </w:tcPr>
          <w:p>
            <w:pPr>
              <w:spacing w:before="0" w:after="0" w:line="240" w:lineRule="auto"/>
              <w:jc w:val="left"/>
            </w:pPr>
            <w:r>
              <w:rPr>
                <w:rFonts w:ascii="Aptos Narrow" w:hAnsi="Aptos Narrow"/>
                <w:b/>
                <w:color w:val="A86800"/>
                <w:sz w:val="17"/>
              </w:rPr>
              <w:t>Partial</w:t>
            </w:r>
          </w:p>
        </w:tc>
        <w:tc>
          <w:tcPr>
            <w:tcW w:type="dxa" w:w="794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7"/>
              </w:rPr>
              <w:t>Useful behavior exists, but an essential part of the requirement is missing.</w:t>
            </w:r>
          </w:p>
        </w:tc>
      </w:tr>
      <w:tr>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CE8E6"/>
          </w:tcPr>
          <w:p>
            <w:pPr>
              <w:spacing w:before="0" w:after="0" w:line="240" w:lineRule="auto"/>
              <w:jc w:val="left"/>
            </w:pPr>
            <w:r>
              <w:rPr>
                <w:rFonts w:ascii="Aptos Narrow" w:hAnsi="Aptos Narrow"/>
                <w:b/>
                <w:color w:val="B42318"/>
                <w:sz w:val="17"/>
              </w:rPr>
              <w:t>Defective</w:t>
            </w:r>
          </w:p>
        </w:tc>
        <w:tc>
          <w:tcPr>
            <w:tcW w:type="dxa" w:w="794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7"/>
              </w:rPr>
              <w:t>An endpoint or service exists, but the current implementation cannot safely complete the operation.</w:t>
            </w:r>
          </w:p>
        </w:tc>
      </w:tr>
      <w:tr>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EEF1F5"/>
          </w:tcPr>
          <w:p>
            <w:pPr>
              <w:spacing w:before="0" w:after="0" w:line="240" w:lineRule="auto"/>
              <w:jc w:val="left"/>
            </w:pPr>
            <w:r>
              <w:rPr>
                <w:rFonts w:ascii="Aptos Narrow" w:hAnsi="Aptos Narrow"/>
                <w:b/>
                <w:color w:val="5E6B7A"/>
                <w:sz w:val="17"/>
              </w:rPr>
              <w:t>Not implemented</w:t>
            </w:r>
          </w:p>
        </w:tc>
        <w:tc>
          <w:tcPr>
            <w:tcW w:type="dxa" w:w="794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7"/>
              </w:rPr>
              <w:t>No supported code path exists for the stated requirement.</w:t>
            </w:r>
          </w:p>
        </w:tc>
      </w:tr>
      <w:tr>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EAF0FA"/>
          </w:tcPr>
          <w:p>
            <w:pPr>
              <w:spacing w:before="0" w:after="0" w:line="240" w:lineRule="auto"/>
              <w:jc w:val="left"/>
            </w:pPr>
            <w:r>
              <w:rPr>
                <w:rFonts w:ascii="Aptos Narrow" w:hAnsi="Aptos Narrow"/>
                <w:b/>
                <w:color w:val="355B9D"/>
                <w:sz w:val="17"/>
              </w:rPr>
              <w:t>Relocated</w:t>
            </w:r>
          </w:p>
        </w:tc>
        <w:tc>
          <w:tcPr>
            <w:tcW w:type="dxa" w:w="794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7"/>
              </w:rPr>
              <w:t>The behavior belongs to another module and is traced there instead of being duplicated.</w:t>
            </w:r>
          </w:p>
        </w:tc>
      </w:tr>
    </w:tbl>
    <w:tbl>
      <w:tblPr>
        <w:tblW w:type="dxa" w:w="10468"/>
        <w:jc w:val="center"/>
        <w:tblLayout w:type="fixed"/>
        <w:tblLook w:firstColumn="1" w:firstRow="1" w:lastColumn="0" w:lastRow="0" w:noHBand="0" w:noVBand="1" w:val="04A0"/>
      </w:tblPr>
      <w:tblGrid>
        <w:gridCol w:w="10468"/>
      </w:tblGrid>
      <w:tr>
        <w:tc>
          <w:tcPr>
            <w:tcW w:type="dxa" w:w="10469"/>
            <w:shd w:fill="FFF3D6"/>
            <w:tcBorders>
              <w:top w:val="single" w:sz="9" w:color="A86800"/>
              <w:left w:val="single" w:sz="9" w:color="A86800"/>
              <w:bottom w:val="single" w:sz="9" w:color="A86800"/>
              <w:right w:val="single" w:sz="9" w:color="A86800"/>
              <w:insideH w:val="single" w:sz="9" w:color="A86800"/>
              <w:insideV w:val="single" w:sz="9" w:color="A86800"/>
            </w:tcBorders>
            <w:tcMar>
              <w:top w:w="100" w:type="dxa"/>
              <w:start w:w="120" w:type="dxa"/>
              <w:bottom w:w="100" w:type="dxa"/>
              <w:end w:w="120" w:type="dxa"/>
            </w:tcMar>
          </w:tcPr>
          <w:p>
            <w:pPr>
              <w:spacing w:before="0" w:after="60" w:line="240" w:lineRule="auto"/>
            </w:pPr>
            <w:r>
              <w:rPr>
                <w:rFonts w:ascii="Aptos Narrow" w:hAnsi="Aptos Narrow"/>
                <w:b/>
                <w:color w:val="A86800"/>
                <w:sz w:val="18"/>
              </w:rPr>
              <w:t>CURRENT MODULE DECISION</w:t>
            </w:r>
          </w:p>
          <w:p>
            <w:pPr>
              <w:spacing w:before="0" w:after="40" w:line="240" w:lineRule="auto"/>
            </w:pPr>
            <w:r>
              <w:rPr>
                <w:rFonts w:ascii="Aptos Narrow" w:hAnsi="Aptos Narrow"/>
                <w:b w:val="0"/>
                <w:color w:val="000000"/>
                <w:sz w:val="17"/>
              </w:rPr>
              <w:t>• Module 1 remains Backend Partial and Integration Partial in MRD v2.18.</w:t>
            </w:r>
          </w:p>
          <w:p>
            <w:pPr>
              <w:spacing w:before="0" w:after="40" w:line="240" w:lineRule="auto"/>
            </w:pPr>
            <w:r>
              <w:rPr>
                <w:rFonts w:ascii="Aptos Narrow" w:hAnsi="Aptos Narrow"/>
                <w:b w:val="0"/>
                <w:color w:val="000000"/>
                <w:sz w:val="17"/>
              </w:rPr>
              <w:t>• The defining blocker is School lifecycle control. An abandoned onboarding can now suspend a School and platform staff can return it, but operator suspension, reactivation, and recoverable deletion, and the handling of closed or deleted Schools and Branches, remain open.</w:t>
            </w:r>
          </w:p>
          <w:p>
            <w:pPr>
              <w:spacing w:before="0" w:after="40" w:line="240" w:lineRule="auto"/>
            </w:pPr>
            <w:r>
              <w:rPr>
                <w:rFonts w:ascii="Aptos Narrow" w:hAnsi="Aptos Narrow"/>
                <w:b w:val="0"/>
                <w:color w:val="000000"/>
                <w:sz w:val="17"/>
              </w:rPr>
              <w:t>• A School's canonical site and its sign-in address are now both protected. The main Branch can no longer be taken out of service, the designation is handed over instead of stranded, and a School that has been live cannot move the address its users sign in at.</w:t>
            </w:r>
          </w:p>
        </w:tc>
      </w:tr>
    </w:tbl>
    <w:p>
      <w:r>
        <w:br w:type="page"/>
      </w:r>
    </w:p>
    <w:p>
      <w:pPr>
        <w:pStyle w:val="Heading1"/>
        <w:spacing w:before="300" w:after="160" w:line="240" w:lineRule="auto"/>
        <w:keepNext/>
        <w:pBdr>
          <w:bottom w:val="single" w:sz="14" w:space="5" w:color="355B9D"/>
        </w:pBdr>
      </w:pPr>
      <w:r>
        <w:rPr>
          <w:rFonts w:ascii="Aptos Narrow" w:hAnsi="Aptos Narrow"/>
          <w:b/>
          <w:color w:val="000000"/>
          <w:sz w:val="34"/>
        </w:rPr>
        <w:t>3. Actors, Permissions, and Ownership</w:t>
      </w:r>
    </w:p>
    <w:p>
      <w:pPr>
        <w:pStyle w:val="Heading2"/>
        <w:spacing w:before="220" w:after="120" w:line="240" w:lineRule="auto"/>
        <w:keepNext/>
        <w:pBdr>
          <w:bottom w:val="single" w:sz="8" w:space="5" w:color="355B9D"/>
        </w:pBdr>
      </w:pPr>
      <w:r>
        <w:rPr>
          <w:rFonts w:ascii="Aptos Narrow" w:hAnsi="Aptos Narrow"/>
          <w:b/>
          <w:color w:val="000000"/>
          <w:sz w:val="27"/>
        </w:rPr>
        <w:t>3.1 Actors</w:t>
      </w:r>
    </w:p>
    <w:tbl>
      <w:tblPr>
        <w:tblW w:type="dxa" w:w="10468"/>
        <w:jc w:val="center"/>
        <w:tblLayout w:type="fixed"/>
        <w:tblLook w:firstColumn="1" w:firstRow="1" w:lastColumn="0" w:lastRow="0" w:noHBand="0" w:noVBand="1" w:val="04A0"/>
      </w:tblPr>
      <w:tblGrid>
        <w:gridCol w:w="3024"/>
        <w:gridCol w:w="7444"/>
      </w:tblGrid>
      <w:tr>
        <w:trPr>
          <w:tblHeader w:val="true"/>
        </w:trPr>
        <w:tc>
          <w:tcPr>
            <w:tcW w:type="dxa" w:w="3024"/>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Actor</w:t>
            </w:r>
          </w:p>
        </w:tc>
        <w:tc>
          <w:tcPr>
            <w:tcW w:type="dxa" w:w="7445"/>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Responsibility</w:t>
            </w:r>
          </w:p>
        </w:tc>
      </w:tr>
      <w:tr>
        <w:tc>
          <w:tcPr>
            <w:tcW w:type="dxa" w:w="302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Platform School viewer</w:t>
            </w:r>
          </w:p>
        </w:tc>
        <w:tc>
          <w:tcPr>
            <w:tcW w:type="dxa" w:w="744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List, search, summarize, and retrieve Schools and Branches.</w:t>
            </w:r>
          </w:p>
        </w:tc>
      </w:tr>
      <w:tr>
        <w:tc>
          <w:tcPr>
            <w:tcW w:type="dxa" w:w="302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Platform School administrator</w:t>
            </w:r>
          </w:p>
        </w:tc>
        <w:tc>
          <w:tcPr>
            <w:tcW w:type="dxa" w:w="744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Create and update Schools using platform.schools.create or platform.schools.update.</w:t>
            </w:r>
          </w:p>
        </w:tc>
      </w:tr>
      <w:tr>
        <w:tc>
          <w:tcPr>
            <w:tcW w:type="dxa" w:w="302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Platform Branch administrator</w:t>
            </w:r>
          </w:p>
        </w:tc>
        <w:tc>
          <w:tcPr>
            <w:tcW w:type="dxa" w:w="744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Create and update Branches using platform.branches.create or platform.branches.update.</w:t>
            </w:r>
          </w:p>
        </w:tc>
      </w:tr>
      <w:tr>
        <w:tc>
          <w:tcPr>
            <w:tcW w:type="dxa" w:w="302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XVision staff</w:t>
            </w:r>
          </w:p>
        </w:tc>
        <w:tc>
          <w:tcPr>
            <w:tcW w:type="dxa" w:w="744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Run Branch lifecycle transitions with platform.branches.manage, and view package/capability catalogues.</w:t>
            </w:r>
          </w:p>
        </w:tc>
      </w:tr>
      <w:tr>
        <w:tc>
          <w:tcPr>
            <w:tcW w:type="dxa" w:w="302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XVision super administrator</w:t>
            </w:r>
          </w:p>
        </w:tc>
        <w:tc>
          <w:tcPr>
            <w:tcW w:type="dxa" w:w="744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Run the current reset configuration operation.</w:t>
            </w:r>
          </w:p>
        </w:tc>
      </w:tr>
      <w:tr>
        <w:tc>
          <w:tcPr>
            <w:tcW w:type="dxa" w:w="302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School administrator</w:t>
            </w:r>
          </w:p>
        </w:tc>
        <w:tc>
          <w:tcPr>
            <w:tcW w:type="dxa" w:w="744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Operate within the paired Tenant through permissions provisioned by the School admin role.</w:t>
            </w:r>
          </w:p>
        </w:tc>
      </w:tr>
      <w:tr>
        <w:tc>
          <w:tcPr>
            <w:tcW w:type="dxa" w:w="302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Branch administrator</w:t>
            </w:r>
          </w:p>
        </w:tc>
        <w:tc>
          <w:tcPr>
            <w:tcW w:type="dxa" w:w="744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Operate within the School tenant and assigned Branch where dependent views enforce Branch scope.</w:t>
            </w:r>
          </w:p>
        </w:tc>
      </w:tr>
      <w:tr>
        <w:tc>
          <w:tcPr>
            <w:tcW w:type="dxa" w:w="302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Background job or import process</w:t>
            </w:r>
          </w:p>
        </w:tc>
        <w:tc>
          <w:tcPr>
            <w:tcW w:type="dxa" w:w="744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Use explicit Tenant and School scope and preserve the same validation and audit contracts.</w:t>
            </w:r>
          </w:p>
        </w:tc>
      </w:tr>
    </w:tbl>
    <w:p>
      <w:pPr>
        <w:pStyle w:val="Heading2"/>
        <w:spacing w:before="220" w:after="120" w:line="240" w:lineRule="auto"/>
        <w:keepNext/>
        <w:pBdr>
          <w:bottom w:val="single" w:sz="8" w:space="5" w:color="355B9D"/>
        </w:pBdr>
      </w:pPr>
      <w:r>
        <w:rPr>
          <w:rFonts w:ascii="Aptos Narrow" w:hAnsi="Aptos Narrow"/>
          <w:b/>
          <w:color w:val="000000"/>
          <w:sz w:val="27"/>
        </w:rPr>
        <w:t>3.2 Endpoint Gates</w:t>
      </w:r>
    </w:p>
    <w:tbl>
      <w:tblPr>
        <w:tblW w:type="dxa" w:w="10468"/>
        <w:jc w:val="center"/>
        <w:tblLayout w:type="fixed"/>
        <w:tblLook w:firstColumn="1" w:firstRow="1" w:lastColumn="0" w:lastRow="0" w:noHBand="0" w:noVBand="1" w:val="04A0"/>
      </w:tblPr>
      <w:tblGrid>
        <w:gridCol w:w="3024"/>
        <w:gridCol w:w="3311"/>
        <w:gridCol w:w="4132"/>
      </w:tblGrid>
      <w:tr>
        <w:trPr>
          <w:tblHeader w:val="true"/>
        </w:trPr>
        <w:tc>
          <w:tcPr>
            <w:tcW w:type="dxa" w:w="3024"/>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Operation</w:t>
            </w:r>
          </w:p>
        </w:tc>
        <w:tc>
          <w:tcPr>
            <w:tcW w:type="dxa" w:w="3312"/>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Permission / Gate</w:t>
            </w:r>
          </w:p>
        </w:tc>
        <w:tc>
          <w:tcPr>
            <w:tcW w:type="dxa" w:w="4133"/>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Scope</w:t>
            </w:r>
          </w:p>
        </w:tc>
      </w:tr>
      <w:tr>
        <w:tc>
          <w:tcPr>
            <w:tcW w:type="dxa" w:w="302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School list, detail, statistics</w:t>
            </w:r>
          </w:p>
        </w:tc>
        <w:tc>
          <w:tcPr>
            <w:tcW w:type="dxa" w:w="331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platform.schools.view</w:t>
            </w:r>
          </w:p>
        </w:tc>
        <w:tc>
          <w:tcPr>
            <w:tcW w:type="dxa" w:w="413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Platform School collection</w:t>
            </w:r>
          </w:p>
        </w:tc>
      </w:tr>
      <w:tr>
        <w:tc>
          <w:tcPr>
            <w:tcW w:type="dxa" w:w="302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Create School</w:t>
            </w:r>
          </w:p>
        </w:tc>
        <w:tc>
          <w:tcPr>
            <w:tcW w:type="dxa" w:w="331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platform.schools.create</w:t>
            </w:r>
          </w:p>
        </w:tc>
        <w:tc>
          <w:tcPr>
            <w:tcW w:type="dxa" w:w="413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Creates School, Tenant, and optional nested onboarding records</w:t>
            </w:r>
          </w:p>
        </w:tc>
      </w:tr>
      <w:tr>
        <w:tc>
          <w:tcPr>
            <w:tcW w:type="dxa" w:w="302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Update School</w:t>
            </w:r>
          </w:p>
        </w:tc>
        <w:tc>
          <w:tcPr>
            <w:tcW w:type="dxa" w:w="331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platform.schools.update</w:t>
            </w:r>
          </w:p>
        </w:tc>
        <w:tc>
          <w:tcPr>
            <w:tcW w:type="dxa" w:w="413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Supported metadata, logo, and the School's sign-in address while it is still editable</w:t>
            </w:r>
          </w:p>
        </w:tc>
      </w:tr>
      <w:tr>
        <w:tc>
          <w:tcPr>
            <w:tcW w:type="dxa" w:w="302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Branch list, detail, statistics</w:t>
            </w:r>
          </w:p>
        </w:tc>
        <w:tc>
          <w:tcPr>
            <w:tcW w:type="dxa" w:w="331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platform.branches.view</w:t>
            </w:r>
          </w:p>
        </w:tc>
        <w:tc>
          <w:tcPr>
            <w:tcW w:type="dxa" w:w="413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Route School's Tenant, reached as Branch to Tenant to school profile, plus ambient tenant filtering</w:t>
            </w:r>
          </w:p>
        </w:tc>
      </w:tr>
      <w:tr>
        <w:tc>
          <w:tcPr>
            <w:tcW w:type="dxa" w:w="302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Create Branch</w:t>
            </w:r>
          </w:p>
        </w:tc>
        <w:tc>
          <w:tcPr>
            <w:tcW w:type="dxa" w:w="331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platform.branches.create</w:t>
            </w:r>
          </w:p>
        </w:tc>
        <w:tc>
          <w:tcPr>
            <w:tcW w:type="dxa" w:w="413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ACTIVE route School</w:t>
            </w:r>
          </w:p>
        </w:tc>
      </w:tr>
      <w:tr>
        <w:tc>
          <w:tcPr>
            <w:tcW w:type="dxa" w:w="302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Update Branch</w:t>
            </w:r>
          </w:p>
        </w:tc>
        <w:tc>
          <w:tcPr>
            <w:tcW w:type="dxa" w:w="331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platform.branches.update</w:t>
            </w:r>
          </w:p>
        </w:tc>
        <w:tc>
          <w:tcPr>
            <w:tcW w:type="dxa" w:w="413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Route School's Tenant and Branch business code, including the main-Branch handover</w:t>
            </w:r>
          </w:p>
        </w:tc>
      </w:tr>
      <w:tr>
        <w:tc>
          <w:tcPr>
            <w:tcW w:type="dxa" w:w="302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Transition Branch</w:t>
            </w:r>
          </w:p>
        </w:tc>
        <w:tc>
          <w:tcPr>
            <w:tcW w:type="dxa" w:w="331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IsVisionStaff and platform.branches.manage</w:t>
            </w:r>
          </w:p>
        </w:tc>
        <w:tc>
          <w:tcPr>
            <w:tcW w:type="dxa" w:w="413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Resolved through the route School's Tenant</w:t>
            </w:r>
          </w:p>
        </w:tc>
      </w:tr>
      <w:tr>
        <w:tc>
          <w:tcPr>
            <w:tcW w:type="dxa" w:w="302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Reset School configuration</w:t>
            </w:r>
          </w:p>
        </w:tc>
        <w:tc>
          <w:tcPr>
            <w:tcW w:type="dxa" w:w="331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IsVisionSuperAdmin</w:t>
            </w:r>
          </w:p>
        </w:tc>
        <w:tc>
          <w:tcPr>
            <w:tcW w:type="dxa" w:w="413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Current behavior removes branding only</w:t>
            </w:r>
          </w:p>
        </w:tc>
      </w:tr>
      <w:tr>
        <w:tc>
          <w:tcPr>
            <w:tcW w:type="dxa" w:w="302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Platform onboarding defaults</w:t>
            </w:r>
          </w:p>
        </w:tc>
        <w:tc>
          <w:tcPr>
            <w:tcW w:type="dxa" w:w="331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config.value.view / config.value.update</w:t>
            </w:r>
          </w:p>
        </w:tc>
        <w:tc>
          <w:tcPr>
            <w:tcW w:type="dxa" w:w="413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Platform-only curated settings</w:t>
            </w:r>
          </w:p>
        </w:tc>
      </w:tr>
      <w:tr>
        <w:tc>
          <w:tcPr>
            <w:tcW w:type="dxa" w:w="302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Entitlements</w:t>
            </w:r>
          </w:p>
        </w:tc>
        <w:tc>
          <w:tcPr>
            <w:tcW w:type="dxa" w:w="331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config.entitlement.view / manage</w:t>
            </w:r>
          </w:p>
        </w:tc>
        <w:tc>
          <w:tcPr>
            <w:tcW w:type="dxa" w:w="413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Platform or School Tenant scope</w:t>
            </w:r>
          </w:p>
        </w:tc>
      </w:tr>
      <w:tr>
        <w:tc>
          <w:tcPr>
            <w:tcW w:type="dxa" w:w="302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Overrides</w:t>
            </w:r>
          </w:p>
        </w:tc>
        <w:tc>
          <w:tcPr>
            <w:tcW w:type="dxa" w:w="331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config.override.view / manage</w:t>
            </w:r>
          </w:p>
        </w:tc>
        <w:tc>
          <w:tcPr>
            <w:tcW w:type="dxa" w:w="413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Platform, School, or Branch scope</w:t>
            </w:r>
          </w:p>
        </w:tc>
      </w:tr>
    </w:tbl>
    <w:p>
      <w:pPr>
        <w:pStyle w:val="Heading2"/>
        <w:spacing w:before="220" w:after="120" w:line="240" w:lineRule="auto"/>
        <w:keepNext/>
        <w:pBdr>
          <w:bottom w:val="single" w:sz="8" w:space="5" w:color="355B9D"/>
        </w:pBdr>
      </w:pPr>
      <w:r>
        <w:rPr>
          <w:rFonts w:ascii="Aptos Narrow" w:hAnsi="Aptos Narrow"/>
          <w:b/>
          <w:color w:val="000000"/>
          <w:sz w:val="27"/>
        </w:rPr>
        <w:t>3.3 Ownership Rules</w:t>
      </w:r>
    </w:p>
    <w:p>
      <w:pPr>
        <w:spacing w:before="0" w:after="40" w:line="240" w:lineRule="auto"/>
        <w:ind w:left="288" w:hanging="202"/>
      </w:pPr>
      <w:r>
        <w:rPr>
          <w:rFonts w:ascii="Aptos Narrow" w:hAnsi="Aptos Narrow"/>
          <w:b w:val="0"/>
          <w:color w:val="000000"/>
          <w:sz w:val="18"/>
        </w:rPr>
        <w:t>• School has one protected Tenant, one to one: the School is that Tenant's school-facing profile. Deleting the Tenant cannot silently delete the School, and deleting the School removes no Branch.</w:t>
      </w:r>
    </w:p>
    <w:p>
      <w:pPr>
        <w:spacing w:before="0" w:after="40" w:line="240" w:lineRule="auto"/>
        <w:ind w:left="288" w:hanging="202"/>
      </w:pPr>
      <w:r>
        <w:rPr>
          <w:rFonts w:ascii="Aptos Narrow" w:hAnsi="Aptos Narrow"/>
          <w:b w:val="0"/>
          <w:color w:val="000000"/>
          <w:sz w:val="18"/>
        </w:rPr>
        <w:t>• Branch belongs to exactly one Tenant, never to a School: the row carries a protected Tenant foreign key and has no school column. A School reaches its sites through its tenant id, so the query is tenant.branches, and TenantAwareManager filters Branch on that ambient Tenant.</w:t>
      </w:r>
    </w:p>
    <w:p>
      <w:pPr>
        <w:spacing w:before="0" w:after="40" w:line="240" w:lineRule="auto"/>
        <w:ind w:left="288" w:hanging="202"/>
      </w:pPr>
      <w:r>
        <w:rPr>
          <w:rFonts w:ascii="Aptos Narrow" w:hAnsi="Aptos Narrow"/>
          <w:b w:val="0"/>
          <w:color w:val="000000"/>
          <w:sz w:val="18"/>
        </w:rPr>
        <w:t>• Platform actors and background jobs can have no ambient School tenant, so they must scope explicit targets.</w:t>
      </w:r>
    </w:p>
    <w:p>
      <w:pPr>
        <w:spacing w:before="0" w:after="40" w:line="240" w:lineRule="auto"/>
        <w:ind w:left="288" w:hanging="202"/>
      </w:pPr>
      <w:r>
        <w:rPr>
          <w:rFonts w:ascii="Aptos Narrow" w:hAnsi="Aptos Narrow"/>
          <w:b w:val="0"/>
          <w:color w:val="000000"/>
          <w:sz w:val="18"/>
        </w:rPr>
        <w:t>• Branch-bound authorization is narrower than tenant authorization and must be enforced separately in every Branch-sensitive consumer.</w:t>
      </w:r>
    </w:p>
    <w:p>
      <w:r>
        <w:br w:type="page"/>
      </w:r>
    </w:p>
    <w:p>
      <w:pPr>
        <w:pStyle w:val="Heading1"/>
        <w:spacing w:before="300" w:after="160" w:line="240" w:lineRule="auto"/>
        <w:keepNext/>
        <w:pBdr>
          <w:bottom w:val="single" w:sz="14" w:space="5" w:color="355B9D"/>
        </w:pBdr>
      </w:pPr>
      <w:r>
        <w:rPr>
          <w:rFonts w:ascii="Aptos Narrow" w:hAnsi="Aptos Narrow"/>
          <w:b/>
          <w:color w:val="000000"/>
          <w:sz w:val="34"/>
        </w:rPr>
        <w:t>4. Functional Requirements</w:t>
      </w:r>
    </w:p>
    <w:p>
      <w:pPr>
        <w:spacing w:before="0" w:after="100" w:line="240" w:lineRule="auto"/>
        <w:jc w:val="left"/>
      </w:pPr>
      <w:r>
        <w:rPr>
          <w:rFonts w:ascii="Aptos Narrow" w:hAnsi="Aptos Narrow"/>
          <w:b w:val="0"/>
          <w:color w:val="000000"/>
          <w:sz w:val="18"/>
        </w:rPr>
        <w:t>Each requirement records the required behavior, inspected implementation evidence, acceptance boundary, and current limitation. Status is current state, not revision history.</w:t>
      </w:r>
    </w:p>
    <w:p>
      <w:pPr>
        <w:pStyle w:val="Heading2"/>
        <w:spacing w:before="220" w:after="120" w:line="240" w:lineRule="auto"/>
        <w:keepNext/>
        <w:pBdr>
          <w:bottom w:val="single" w:sz="8" w:space="5" w:color="355B9D"/>
        </w:pBdr>
      </w:pPr>
      <w:r>
        <w:rPr>
          <w:rFonts w:ascii="Aptos Narrow" w:hAnsi="Aptos Narrow"/>
          <w:b/>
          <w:color w:val="000000"/>
          <w:sz w:val="27"/>
        </w:rPr>
        <w:t>FR-001  Create a School and Tenant Boundary</w:t>
      </w:r>
    </w:p>
    <w:tbl>
      <w:tblPr>
        <w:tblW w:type="dxa" w:w="10468"/>
        <w:jc w:val="center"/>
        <w:tblLayout w:type="fixed"/>
        <w:tblLook w:firstColumn="1" w:firstRow="1" w:lastColumn="0" w:lastRow="0" w:noHBand="0" w:noVBand="1" w:val="04A0"/>
      </w:tblPr>
      <w:tblGrid>
        <w:gridCol w:w="2131"/>
        <w:gridCol w:w="8337"/>
      </w:tblGrid>
      <w:tr>
        <w:tc>
          <w:tcPr>
            <w:tcW w:type="dxa" w:w="10469"/>
            <w:gridSpan w:val="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E4F3EA"/>
          </w:tcPr>
          <w:p>
            <w:pPr>
              <w:spacing w:before="0" w:after="0" w:line="240" w:lineRule="auto"/>
              <w:jc w:val="left"/>
            </w:pPr>
            <w:r>
              <w:rPr>
                <w:rFonts w:ascii="Aptos Narrow" w:hAnsi="Aptos Narrow"/>
                <w:b/>
                <w:color w:val="1F7A4D"/>
                <w:sz w:val="18"/>
              </w:rPr>
              <w:t>FR-001 | Implemented</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Requirement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An authorized platform caller can create a School as the business identity and a paired Tenant as the durable security boundary.</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evidence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SchoolCreateSerializer and School.save() create the School and Tenant atomically, together with at least one Branch, which the serializer now requires (FR-018). New Schools begin PENDING unless an explicit supported status path changes them. The same transaction also provisions the School's set of books (FR-017) and its Module 9 onboarding control room, each best effort inside its own savepoint so neither can cost the School.</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Acceptance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A successful request persists one School, one protected Tenant, at least one Branch of which exactly one is main, and any valid nested onboarding records. A payload carrying no Branch is rejected before anything is written. Hard database failures roll back the transaction.</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limit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Invitation provisioning uses an inner savepoint and may fail without rolling back the School; the queued admin link then requires operational reconciliation. Books and onboarding provisioning fail the same way and are repaired by a command and by re-provisioning respectively.</w:t>
            </w:r>
          </w:p>
        </w:tc>
      </w:tr>
    </w:tbl>
    <w:p>
      <w:pPr>
        <w:pStyle w:val="Heading2"/>
        <w:spacing w:before="220" w:after="120" w:line="240" w:lineRule="auto"/>
        <w:keepNext/>
        <w:pBdr>
          <w:bottom w:val="single" w:sz="8" w:space="5" w:color="355B9D"/>
        </w:pBdr>
      </w:pPr>
      <w:r>
        <w:rPr>
          <w:rFonts w:ascii="Aptos Narrow" w:hAnsi="Aptos Narrow"/>
          <w:b/>
          <w:color w:val="000000"/>
          <w:sz w:val="27"/>
        </w:rPr>
        <w:t>FR-002  Generate Stable School Identifiers</w:t>
      </w:r>
    </w:p>
    <w:tbl>
      <w:tblPr>
        <w:tblW w:type="dxa" w:w="10468"/>
        <w:jc w:val="center"/>
        <w:tblLayout w:type="fixed"/>
        <w:tblLook w:firstColumn="1" w:firstRow="1" w:lastColumn="0" w:lastRow="0" w:noHBand="0" w:noVBand="1" w:val="04A0"/>
      </w:tblPr>
      <w:tblGrid>
        <w:gridCol w:w="2131"/>
        <w:gridCol w:w="8337"/>
      </w:tblGrid>
      <w:tr>
        <w:tc>
          <w:tcPr>
            <w:tcW w:type="dxa" w:w="10469"/>
            <w:gridSpan w:val="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E4F3EA"/>
          </w:tcPr>
          <w:p>
            <w:pPr>
              <w:spacing w:before="0" w:after="0" w:line="240" w:lineRule="auto"/>
              <w:jc w:val="left"/>
            </w:pPr>
            <w:r>
              <w:rPr>
                <w:rFonts w:ascii="Aptos Narrow" w:hAnsi="Aptos Narrow"/>
                <w:b/>
                <w:color w:val="1F7A4D"/>
                <w:sz w:val="18"/>
              </w:rPr>
              <w:t>FR-002 | Implemented with limits</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Requirement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Each School has a stable internal ID, unique slug, and unique uppercase school code suitable for routing, scoping, and operator selection.</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evidence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The slug is generated from the name when omitted, reserved values are rejected against the 67 platform hostnames in RESERVED_TENANT_SLUGS, and the code is allocated through the tenant document-number service with the SC prefix. That reserved list moved into vs_tenants with the Branch model, because the names it protects are platform hostnames that an ORGANIZATION or VIGIL Tenant must obey too, and it is enforced in Tenant.save() and clean() rather than on the field, because a field validator never runs on Tenant.objects.create(), which is how every writer here makes a Tenant.</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Acceptance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Slug and code collisions are rejected. List responses expose the internal School ID used by scoped configuration endpoints.</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limit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School names are not unique, and the public update serializer still allows neither a name nor a code change. The slug is now editable up to go-live and frozen after; that rule and its endpoint are FR-021.</w:t>
            </w:r>
          </w:p>
        </w:tc>
      </w:tr>
    </w:tbl>
    <w:p>
      <w:pPr>
        <w:pStyle w:val="Heading2"/>
        <w:spacing w:before="220" w:after="120" w:line="240" w:lineRule="auto"/>
        <w:keepNext/>
        <w:pBdr>
          <w:bottom w:val="single" w:sz="8" w:space="5" w:color="355B9D"/>
        </w:pBdr>
      </w:pPr>
      <w:r>
        <w:rPr>
          <w:rFonts w:ascii="Aptos Narrow" w:hAnsi="Aptos Narrow"/>
          <w:b/>
          <w:color w:val="000000"/>
          <w:sz w:val="27"/>
        </w:rPr>
        <w:t>FR-003  Apply Platform Onboarding Defaults</w:t>
      </w:r>
    </w:p>
    <w:tbl>
      <w:tblPr>
        <w:tblW w:type="dxa" w:w="10468"/>
        <w:jc w:val="center"/>
        <w:tblLayout w:type="fixed"/>
        <w:tblLook w:firstColumn="1" w:firstRow="1" w:lastColumn="0" w:lastRow="0" w:noHBand="0" w:noVBand="1" w:val="04A0"/>
      </w:tblPr>
      <w:tblGrid>
        <w:gridCol w:w="2131"/>
        <w:gridCol w:w="8337"/>
      </w:tblGrid>
      <w:tr>
        <w:tc>
          <w:tcPr>
            <w:tcW w:type="dxa" w:w="10469"/>
            <w:gridSpan w:val="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E4F3EA"/>
          </w:tcPr>
          <w:p>
            <w:pPr>
              <w:spacing w:before="0" w:after="0" w:line="240" w:lineRule="auto"/>
              <w:jc w:val="left"/>
            </w:pPr>
            <w:r>
              <w:rPr>
                <w:rFonts w:ascii="Aptos Narrow" w:hAnsi="Aptos Narrow"/>
                <w:b/>
                <w:color w:val="1F7A4D"/>
                <w:sz w:val="18"/>
              </w:rPr>
              <w:t>FR-003 | Implemented</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Requirement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Omitted onboarding fields use centrally managed platform defaults without overwriting explicit caller choices.</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evidence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School creation resolves default ownership type, term structure, currency, and branch country from vs_config. Standalone branch creation uses the same branch-country default.</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Acceptance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Changing a supported platform default affects later School or Branch creation only when the corresponding request field is omitted. Explicit valid input wins.</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limit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These defaults still do not provide the checklist, readiness state, go-live decision, or rollback workflow. Those are Module 9, which is now built and is provisioned from this creation path.</w:t>
            </w:r>
          </w:p>
        </w:tc>
      </w:tr>
    </w:tbl>
    <w:p>
      <w:pPr>
        <w:pStyle w:val="Heading2"/>
        <w:spacing w:before="220" w:after="120" w:line="240" w:lineRule="auto"/>
        <w:keepNext/>
        <w:pBdr>
          <w:bottom w:val="single" w:sz="8" w:space="5" w:color="355B9D"/>
        </w:pBdr>
      </w:pPr>
      <w:r>
        <w:rPr>
          <w:rFonts w:ascii="Aptos Narrow" w:hAnsi="Aptos Narrow"/>
          <w:b/>
          <w:color w:val="000000"/>
          <w:sz w:val="27"/>
        </w:rPr>
        <w:t>FR-004  Provision the Primary School Administrator</w:t>
      </w:r>
    </w:p>
    <w:tbl>
      <w:tblPr>
        <w:tblW w:type="dxa" w:w="10468"/>
        <w:jc w:val="center"/>
        <w:tblLayout w:type="fixed"/>
        <w:tblLook w:firstColumn="1" w:firstRow="1" w:lastColumn="0" w:lastRow="0" w:noHBand="0" w:noVBand="1" w:val="04A0"/>
      </w:tblPr>
      <w:tblGrid>
        <w:gridCol w:w="2131"/>
        <w:gridCol w:w="8337"/>
      </w:tblGrid>
      <w:tr>
        <w:tc>
          <w:tcPr>
            <w:tcW w:type="dxa" w:w="10469"/>
            <w:gridSpan w:val="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E4F3EA"/>
          </w:tcPr>
          <w:p>
            <w:pPr>
              <w:spacing w:before="0" w:after="0" w:line="240" w:lineRule="auto"/>
              <w:jc w:val="left"/>
            </w:pPr>
            <w:r>
              <w:rPr>
                <w:rFonts w:ascii="Aptos Narrow" w:hAnsi="Aptos Narrow"/>
                <w:b/>
                <w:color w:val="1F7A4D"/>
                <w:sz w:val="18"/>
              </w:rPr>
              <w:t>FR-004 | Implemented with limits</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Requirement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School onboarding can create a primary administrator contact, user, tenant role assignment, invitation, and asynchronous email delivery request.</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evidence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SchoolPrimaryAdmin, ContactInfo, User, TenantUserRoleAssignment, InvitationService, and the Celery invitation task form the current path.</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Acceptance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A valid unused email produces a School-scoped inactive user with the prebuilt School administrator role and an invitation record.</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limit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Provisioning exceptions are logged and swallowed. The School remains created and the admin link can remain QUEUED without an exposed retry queue.</w:t>
            </w:r>
          </w:p>
        </w:tc>
      </w:tr>
    </w:tbl>
    <w:p>
      <w:r>
        <w:br w:type="page"/>
      </w:r>
    </w:p>
    <w:p>
      <w:pPr>
        <w:pStyle w:val="Heading2"/>
        <w:spacing w:before="220" w:after="120" w:line="240" w:lineRule="auto"/>
        <w:keepNext/>
        <w:pBdr>
          <w:bottom w:val="single" w:sz="8" w:space="5" w:color="355B9D"/>
        </w:pBdr>
      </w:pPr>
      <w:r>
        <w:rPr>
          <w:rFonts w:ascii="Aptos Narrow" w:hAnsi="Aptos Narrow"/>
          <w:b/>
          <w:color w:val="000000"/>
          <w:sz w:val="27"/>
        </w:rPr>
        <w:t>FR-005  Create a Branch Under an Active School</w:t>
      </w:r>
    </w:p>
    <w:tbl>
      <w:tblPr>
        <w:tblW w:type="dxa" w:w="10468"/>
        <w:jc w:val="center"/>
        <w:tblLayout w:type="fixed"/>
        <w:tblLook w:firstColumn="1" w:firstRow="1" w:lastColumn="0" w:lastRow="0" w:noHBand="0" w:noVBand="1" w:val="04A0"/>
      </w:tblPr>
      <w:tblGrid>
        <w:gridCol w:w="2131"/>
        <w:gridCol w:w="8337"/>
      </w:tblGrid>
      <w:tr>
        <w:tc>
          <w:tcPr>
            <w:tcW w:type="dxa" w:w="10469"/>
            <w:gridSpan w:val="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E4F3EA"/>
          </w:tcPr>
          <w:p>
            <w:pPr>
              <w:spacing w:before="0" w:after="0" w:line="240" w:lineRule="auto"/>
              <w:jc w:val="left"/>
            </w:pPr>
            <w:r>
              <w:rPr>
                <w:rFonts w:ascii="Aptos Narrow" w:hAnsi="Aptos Narrow"/>
                <w:b/>
                <w:color w:val="1F7A4D"/>
                <w:sz w:val="18"/>
              </w:rPr>
              <w:t>FR-005 | Implemented</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Requirement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An authorized caller can create a Branch under an ACTIVE School, receive a code that is unique within the School's Tenant, and record the initial PENDING lifecycle event.</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evidence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BranchCreateSerializer validates the School, applies the platform branch-country default when omitted, and creates BranchLifecycle history; list and detail responses expose the database ID alongside the business code. Code allocation is max(code)+1 taken while locking the Tenant row rather than the Branch rows, so two concurrent first-Branch creates can no longer both take code 1, and it reads unscoped so platform code acting for another Tenant cannot allocate a duplicate. The database holds the same rules the serializer checks: uq_branch_tenant_code and uq_branch_one_main_per_tenant were added with the Tenant column in vs_schools migration 0003 and re-declared state-only when the model moved in vs_tenants migration 0004. That migration repairs existing rows before adding them, renumbering duplicate codes and demoting extra main Branches by primary key.</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Acceptance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The created Branch belongs to the route School's Tenant, has PENDING status, an opened timestamp, a code, and an initial lifecycle entry. A duplicate code or a second main Branch in the same Tenant is refused by the database even when the write bypasses the model, while the same code under another Tenant is allowed.</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limit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Neither constraint filters on status, which is deliberate: a closed Branch keeps its code, so a document citing branch 2 keeps its meaning for ever, and a closed main Branch keeps is_main. What used to make the second half a dead end is now refused before it can happen, because a main Branch cannot leave service at all and the designation is handed over first (FR-020).</w:t>
            </w:r>
          </w:p>
        </w:tc>
      </w:tr>
    </w:tbl>
    <w:p>
      <w:pPr>
        <w:pStyle w:val="Heading2"/>
        <w:spacing w:before="220" w:after="120" w:line="240" w:lineRule="auto"/>
        <w:keepNext/>
        <w:pBdr>
          <w:bottom w:val="single" w:sz="8" w:space="5" w:color="355B9D"/>
        </w:pBdr>
      </w:pPr>
      <w:r>
        <w:rPr>
          <w:rFonts w:ascii="Aptos Narrow" w:hAnsi="Aptos Narrow"/>
          <w:b/>
          <w:color w:val="000000"/>
          <w:sz w:val="27"/>
        </w:rPr>
        <w:t>FR-006  Provision the Primary Branch Administrator</w:t>
      </w:r>
    </w:p>
    <w:tbl>
      <w:tblPr>
        <w:tblW w:type="dxa" w:w="10468"/>
        <w:jc w:val="center"/>
        <w:tblLayout w:type="fixed"/>
        <w:tblLook w:firstColumn="1" w:firstRow="1" w:lastColumn="0" w:lastRow="0" w:noHBand="0" w:noVBand="1" w:val="04A0"/>
      </w:tblPr>
      <w:tblGrid>
        <w:gridCol w:w="2131"/>
        <w:gridCol w:w="8337"/>
      </w:tblGrid>
      <w:tr>
        <w:tc>
          <w:tcPr>
            <w:tcW w:type="dxa" w:w="10469"/>
            <w:gridSpan w:val="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E4F3EA"/>
          </w:tcPr>
          <w:p>
            <w:pPr>
              <w:spacing w:before="0" w:after="0" w:line="240" w:lineRule="auto"/>
              <w:jc w:val="left"/>
            </w:pPr>
            <w:r>
              <w:rPr>
                <w:rFonts w:ascii="Aptos Narrow" w:hAnsi="Aptos Narrow"/>
                <w:b/>
                <w:color w:val="1F7A4D"/>
                <w:sz w:val="18"/>
              </w:rPr>
              <w:t>FR-006 | Implemented with limits</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Requirement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Branch onboarding can create a Branch-scoped administrator role assignment, contact, user, and invitation.</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evidence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BranchPrimaryAdmin and the shared admin-provisioning service create the current link. Nested School onboarding can reuse the School admin email without creating a duplicate user.</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Acceptance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A valid administrator is linked to the target Branch and its School tenant, and the invitation state is visible.</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limit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Standalone Branch creation declares primary admin data as optional but the creation path effectively requires it. Failed provisioning has the same reconciliation gap as School admins.</w:t>
            </w:r>
          </w:p>
        </w:tc>
      </w:tr>
    </w:tbl>
    <w:p>
      <w:pPr>
        <w:pStyle w:val="Heading2"/>
        <w:spacing w:before="220" w:after="120" w:line="240" w:lineRule="auto"/>
        <w:keepNext/>
        <w:pBdr>
          <w:bottom w:val="single" w:sz="8" w:space="5" w:color="355B9D"/>
        </w:pBdr>
      </w:pPr>
      <w:r>
        <w:rPr>
          <w:rFonts w:ascii="Aptos Narrow" w:hAnsi="Aptos Narrow"/>
          <w:b/>
          <w:color w:val="000000"/>
          <w:sz w:val="27"/>
        </w:rPr>
        <w:t>FR-007  Assign Package Capacity and Capabilities</w:t>
      </w:r>
    </w:p>
    <w:tbl>
      <w:tblPr>
        <w:tblW w:type="dxa" w:w="10468"/>
        <w:jc w:val="center"/>
        <w:tblLayout w:type="fixed"/>
        <w:tblLook w:firstColumn="1" w:firstRow="1" w:lastColumn="0" w:lastRow="0" w:noHBand="0" w:noVBand="1" w:val="04A0"/>
      </w:tblPr>
      <w:tblGrid>
        <w:gridCol w:w="2131"/>
        <w:gridCol w:w="8337"/>
      </w:tblGrid>
      <w:tr>
        <w:tc>
          <w:tcPr>
            <w:tcW w:type="dxa" w:w="10469"/>
            <w:gridSpan w:val="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E4F3EA"/>
          </w:tcPr>
          <w:p>
            <w:pPr>
              <w:spacing w:before="0" w:after="0" w:line="240" w:lineRule="auto"/>
              <w:jc w:val="left"/>
            </w:pPr>
            <w:r>
              <w:rPr>
                <w:rFonts w:ascii="Aptos Narrow" w:hAnsi="Aptos Narrow"/>
                <w:b/>
                <w:color w:val="1F7A4D"/>
                <w:sz w:val="18"/>
              </w:rPr>
              <w:t>FR-007 | Implemented with limits</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Requirement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School creation can select an active PackagePlan, validate capacity values, set subscription expiry, and grant dependency-closed capabilities.</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evidence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SchoolPackageSetup validates student, teacher, and administrator capacities and vs_config stores entitlements, dependencies, schedules, overrides, and audit evidence.</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Acceptance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Invalid capacity or expiry input fails validation. Effective capability evaluation honors entitlement, dependency state, time window, and scoped override precedence.</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limit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PackagePlan.max_branch is stored but not enforced during School or Branch creation.</w:t>
            </w:r>
          </w:p>
        </w:tc>
      </w:tr>
    </w:tbl>
    <w:p>
      <w:pPr>
        <w:pStyle w:val="Heading2"/>
        <w:spacing w:before="220" w:after="120" w:line="240" w:lineRule="auto"/>
        <w:keepNext/>
        <w:pBdr>
          <w:bottom w:val="single" w:sz="8" w:space="5" w:color="355B9D"/>
        </w:pBdr>
      </w:pPr>
      <w:r>
        <w:rPr>
          <w:rFonts w:ascii="Aptos Narrow" w:hAnsi="Aptos Narrow"/>
          <w:b/>
          <w:color w:val="000000"/>
          <w:sz w:val="27"/>
        </w:rPr>
        <w:t>FR-008  List, Search, View, and Summarize Schools</w:t>
      </w:r>
    </w:p>
    <w:tbl>
      <w:tblPr>
        <w:tblW w:type="dxa" w:w="10468"/>
        <w:jc w:val="center"/>
        <w:tblLayout w:type="fixed"/>
        <w:tblLook w:firstColumn="1" w:firstRow="1" w:lastColumn="0" w:lastRow="0" w:noHBand="0" w:noVBand="1" w:val="04A0"/>
      </w:tblPr>
      <w:tblGrid>
        <w:gridCol w:w="2131"/>
        <w:gridCol w:w="8337"/>
      </w:tblGrid>
      <w:tr>
        <w:tc>
          <w:tcPr>
            <w:tcW w:type="dxa" w:w="10469"/>
            <w:gridSpan w:val="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E4F3EA"/>
          </w:tcPr>
          <w:p>
            <w:pPr>
              <w:spacing w:before="0" w:after="0" w:line="240" w:lineRule="auto"/>
              <w:jc w:val="left"/>
            </w:pPr>
            <w:r>
              <w:rPr>
                <w:rFonts w:ascii="Aptos Narrow" w:hAnsi="Aptos Narrow"/>
                <w:b/>
                <w:color w:val="1F7A4D"/>
                <w:sz w:val="18"/>
              </w:rPr>
              <w:t>FR-008 | Implemented</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Requirement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Authorized platform users can page, filter, search, order, retrieve, and summarize Schools.</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evidence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SchoolListView supports status flags, text search across School fields and, through the tenant, Branch fields, allow-listed ordering, nested main Branch data, and stable School IDs. Every Branch query path here is tenant__branches: School.branches is a Python property, not a reverse relation, so it cannot appear in a filter or a prefetch. Detail returns branding, admins, package setup, and Branches.</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Acceptance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The list is paginated and restricted by platform.schools.view. Statistics return all, active, pending, and inactive counts in one aggregate query.</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limit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SchoolDetailView currently converts unexpected exceptions into a response containing the exception type, message, and traceback. This is unsafe for production.</w:t>
            </w:r>
          </w:p>
        </w:tc>
      </w:tr>
    </w:tbl>
    <w:p>
      <w:r>
        <w:br w:type="page"/>
      </w:r>
    </w:p>
    <w:p>
      <w:pPr>
        <w:pStyle w:val="Heading2"/>
        <w:spacing w:before="220" w:after="120" w:line="240" w:lineRule="auto"/>
        <w:keepNext/>
        <w:pBdr>
          <w:bottom w:val="single" w:sz="8" w:space="5" w:color="355B9D"/>
        </w:pBdr>
      </w:pPr>
      <w:r>
        <w:rPr>
          <w:rFonts w:ascii="Aptos Narrow" w:hAnsi="Aptos Narrow"/>
          <w:b/>
          <w:color w:val="000000"/>
          <w:sz w:val="27"/>
        </w:rPr>
        <w:t>FR-009  Update School Metadata and Branding</w:t>
      </w:r>
    </w:p>
    <w:tbl>
      <w:tblPr>
        <w:tblW w:type="dxa" w:w="10468"/>
        <w:jc w:val="center"/>
        <w:tblLayout w:type="fixed"/>
        <w:tblLook w:firstColumn="1" w:firstRow="1" w:lastColumn="0" w:lastRow="0" w:noHBand="0" w:noVBand="1" w:val="04A0"/>
      </w:tblPr>
      <w:tblGrid>
        <w:gridCol w:w="2131"/>
        <w:gridCol w:w="8337"/>
      </w:tblGrid>
      <w:tr>
        <w:tc>
          <w:tcPr>
            <w:tcW w:type="dxa" w:w="10469"/>
            <w:gridSpan w:val="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3D6"/>
          </w:tcPr>
          <w:p>
            <w:pPr>
              <w:spacing w:before="0" w:after="0" w:line="240" w:lineRule="auto"/>
              <w:jc w:val="left"/>
            </w:pPr>
            <w:r>
              <w:rPr>
                <w:rFonts w:ascii="Aptos Narrow" w:hAnsi="Aptos Narrow"/>
                <w:b/>
                <w:color w:val="A86800"/>
                <w:sz w:val="18"/>
              </w:rPr>
              <w:t>FR-009 | Partial</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Requirement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Authorized operators can update supported School metadata and the School logo without changing identity or lifecycle fields through the general update endpoint.</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evidence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SchoolUpdateSerializer allows ownership type, address, website, motto, term structure, currency, registration ID, optional branding logo, and now the School's slug while it is still editable (FR-021). The view re-reads the School by primary key after the write, because the route key is the slug and re-reading by it would have answered 404 for exactly the request that had just moved it. It no longer carries a branch-operating declaration; how many sites a School runs is read from its Branches (FR-018).</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Acceptance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A material supported change is saved and the endpoint returns the refreshed School detail payload.</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limit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A branding-only request is rejected as 'No changes detected' before branding is upserted. School update still does not emit the expected platform audit event, which now covers a change of sign-in address as well as metadata. The display name is not writable at all (Section 9). Favicon and broader theme fields do not exist.</w:t>
            </w:r>
          </w:p>
        </w:tc>
      </w:tr>
    </w:tbl>
    <w:p>
      <w:pPr>
        <w:pStyle w:val="Heading2"/>
        <w:spacing w:before="220" w:after="120" w:line="240" w:lineRule="auto"/>
        <w:keepNext/>
        <w:pBdr>
          <w:bottom w:val="single" w:sz="8" w:space="5" w:color="355B9D"/>
        </w:pBdr>
      </w:pPr>
      <w:r>
        <w:rPr>
          <w:rFonts w:ascii="Aptos Narrow" w:hAnsi="Aptos Narrow"/>
          <w:b/>
          <w:color w:val="000000"/>
          <w:sz w:val="27"/>
        </w:rPr>
        <w:t>FR-010  List, View, Update, and Summarize Branches</w:t>
      </w:r>
    </w:p>
    <w:tbl>
      <w:tblPr>
        <w:tblW w:type="dxa" w:w="10468"/>
        <w:jc w:val="center"/>
        <w:tblLayout w:type="fixed"/>
        <w:tblLook w:firstColumn="1" w:firstRow="1" w:lastColumn="0" w:lastRow="0" w:noHBand="0" w:noVBand="1" w:val="04A0"/>
      </w:tblPr>
      <w:tblGrid>
        <w:gridCol w:w="2131"/>
        <w:gridCol w:w="8337"/>
      </w:tblGrid>
      <w:tr>
        <w:tc>
          <w:tcPr>
            <w:tcW w:type="dxa" w:w="10469"/>
            <w:gridSpan w:val="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E4F3EA"/>
          </w:tcPr>
          <w:p>
            <w:pPr>
              <w:spacing w:before="0" w:after="0" w:line="240" w:lineRule="auto"/>
              <w:jc w:val="left"/>
            </w:pPr>
            <w:r>
              <w:rPr>
                <w:rFonts w:ascii="Aptos Narrow" w:hAnsi="Aptos Narrow"/>
                <w:b/>
                <w:color w:val="1F7A4D"/>
                <w:sz w:val="18"/>
              </w:rPr>
              <w:t>FR-010 | Implemented</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Requirement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Authorized operators can operate on Branches within the School identified by the route.</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evidence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Branch endpoints support status/main filters, search, ordering, database ID plus business code, detail, metadata update, statistics, and before/after update audit evidence. The update path also carries the main-Branch handover: is_main routes through Branch.promote_to_main() rather than a plain attribute write, and clearing the flag on the sole main Branch is refused (FR-020).</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Acceptance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A Branch from another route School is not returned. Statistics include all five Branch states.</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limit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Branch-bound staff authorization still requires explicit Branch filtering in every dependent domain; tenant filtering alone is only a School boundary.</w:t>
            </w:r>
          </w:p>
        </w:tc>
      </w:tr>
    </w:tbl>
    <w:p>
      <w:pPr>
        <w:pStyle w:val="Heading2"/>
        <w:spacing w:before="220" w:after="120" w:line="240" w:lineRule="auto"/>
        <w:keepNext/>
        <w:pBdr>
          <w:bottom w:val="single" w:sz="8" w:space="5" w:color="355B9D"/>
        </w:pBdr>
      </w:pPr>
      <w:r>
        <w:rPr>
          <w:rFonts w:ascii="Aptos Narrow" w:hAnsi="Aptos Narrow"/>
          <w:b/>
          <w:color w:val="000000"/>
          <w:sz w:val="27"/>
        </w:rPr>
        <w:t>FR-011  Transition Branch Lifecycle</w:t>
      </w:r>
    </w:p>
    <w:tbl>
      <w:tblPr>
        <w:tblW w:type="dxa" w:w="10468"/>
        <w:jc w:val="center"/>
        <w:tblLayout w:type="fixed"/>
        <w:tblLook w:firstColumn="1" w:firstRow="1" w:lastColumn="0" w:lastRow="0" w:noHBand="0" w:noVBand="1" w:val="04A0"/>
      </w:tblPr>
      <w:tblGrid>
        <w:gridCol w:w="2131"/>
        <w:gridCol w:w="8337"/>
      </w:tblGrid>
      <w:tr>
        <w:tc>
          <w:tcPr>
            <w:tcW w:type="dxa" w:w="10469"/>
            <w:gridSpan w:val="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E4F3EA"/>
          </w:tcPr>
          <w:p>
            <w:pPr>
              <w:spacing w:before="0" w:after="0" w:line="240" w:lineRule="auto"/>
              <w:jc w:val="left"/>
            </w:pPr>
            <w:r>
              <w:rPr>
                <w:rFonts w:ascii="Aptos Narrow" w:hAnsi="Aptos Narrow"/>
                <w:b/>
                <w:color w:val="1F7A4D"/>
                <w:sz w:val="18"/>
              </w:rPr>
              <w:t>FR-011 | Implemented with limits</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Requirement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Privileged staff can move a Branch through an allowed lifecycle matrix and write a lifecycle event only after a successful state change.</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evidence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The transition endpoint accepts ACTIVE, SUSPENDED, INACTIVE, and CLOSED targets, resolves the Branch within the route School, and requires platform.branches.manage in addition to XVision staff. Branch.ALLOWED_TRANSITIONS publishes the permitted edges, CLOSED is terminal, and PENDING is not a target. Branch.transition() runs in one transaction, persists status with activated_at, deactivated_at, and closed_at, and appends the BranchLifecycle row. It also refuses to take the Tenant's main Branch, or its only Branch, out of service at all: the guard is derived from OUT_OF_SERVICE_STATES and sits at this one choke point, which every mark_* helper, the transition serializer and the shell already pass through (FR-020).</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Acceptance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The implementation must validate allowed transitions, set lifecycle timestamps consistently, persist the state, and append actor/reason history atomically.</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limit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Closing a Branch still has no defined effect on dependent records, sessions, or Branch-bound users, and lifecycle control is platform-side only: a School administrator cannot transition a Branch of their own School. The main-Branch closure dead end this requirement carried through v1.6 is closed; see FR-020.</w:t>
            </w:r>
          </w:p>
        </w:tc>
      </w:tr>
    </w:tbl>
    <w:p>
      <w:pPr>
        <w:pStyle w:val="Heading2"/>
        <w:spacing w:before="220" w:after="120" w:line="240" w:lineRule="auto"/>
        <w:keepNext/>
        <w:pBdr>
          <w:bottom w:val="single" w:sz="8" w:space="5" w:color="355B9D"/>
        </w:pBdr>
      </w:pPr>
      <w:r>
        <w:rPr>
          <w:rFonts w:ascii="Aptos Narrow" w:hAnsi="Aptos Narrow"/>
          <w:b/>
          <w:color w:val="000000"/>
          <w:sz w:val="27"/>
        </w:rPr>
        <w:t>FR-012  Enforce Tenant and Branch Access Boundaries</w:t>
      </w:r>
    </w:p>
    <w:tbl>
      <w:tblPr>
        <w:tblW w:type="dxa" w:w="10468"/>
        <w:jc w:val="center"/>
        <w:tblLayout w:type="fixed"/>
        <w:tblLook w:firstColumn="1" w:firstRow="1" w:lastColumn="0" w:lastRow="0" w:noHBand="0" w:noVBand="1" w:val="04A0"/>
      </w:tblPr>
      <w:tblGrid>
        <w:gridCol w:w="2131"/>
        <w:gridCol w:w="8337"/>
      </w:tblGrid>
      <w:tr>
        <w:tc>
          <w:tcPr>
            <w:tcW w:type="dxa" w:w="10469"/>
            <w:gridSpan w:val="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3D6"/>
          </w:tcPr>
          <w:p>
            <w:pPr>
              <w:spacing w:before="0" w:after="0" w:line="240" w:lineRule="auto"/>
              <w:jc w:val="left"/>
            </w:pPr>
            <w:r>
              <w:rPr>
                <w:rFonts w:ascii="Aptos Narrow" w:hAnsi="Aptos Narrow"/>
                <w:b/>
                <w:color w:val="A86800"/>
                <w:sz w:val="18"/>
              </w:rPr>
              <w:t>FR-012 | Partial</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Requirement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School-owned records must be isolated by Tenant, and Branch-bound roles must be limited to their assigned Branch where the operation is Branch-specific.</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evidence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School owns a protected Tenant, Branch uses TenantAwareManager, route School slugs scope Branch views through that School's Tenant, and endpoints declare platform permission keys. Authentication now admits a Tenant that is ACTIVE or PENDING, so a School that has not gone live can sign in; what such a caller may reach is decided per view by a surface allowlist that is closed by default, and everything outside it answers 403 with a code of its own.</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Acceptance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Changing a School slug, Branch code, tenant selector, or entity selector cannot expose another tenant's records. Branch-bound roles receive only authorized Branch data.</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limit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Platform jobs require explicit scoping and Branch-level filtering is not universal across dependent applications. The pending-tenant surface gate is installed at four permission composition points rather than one, because the framework's default permission classes are replaced rather than extended by a view that declares its own.</w:t>
            </w:r>
          </w:p>
        </w:tc>
      </w:tr>
    </w:tbl>
    <w:p>
      <w:r>
        <w:br w:type="page"/>
      </w:r>
    </w:p>
    <w:p>
      <w:pPr>
        <w:pStyle w:val="Heading2"/>
        <w:spacing w:before="220" w:after="120" w:line="240" w:lineRule="auto"/>
        <w:keepNext/>
        <w:pBdr>
          <w:bottom w:val="single" w:sz="8" w:space="5" w:color="355B9D"/>
        </w:pBdr>
      </w:pPr>
      <w:r>
        <w:rPr>
          <w:rFonts w:ascii="Aptos Narrow" w:hAnsi="Aptos Narrow"/>
          <w:b/>
          <w:color w:val="000000"/>
          <w:sz w:val="27"/>
        </w:rPr>
        <w:t>FR-013  Record School and Branch Audit Evidence</w:t>
      </w:r>
    </w:p>
    <w:tbl>
      <w:tblPr>
        <w:tblW w:type="dxa" w:w="10468"/>
        <w:jc w:val="center"/>
        <w:tblLayout w:type="fixed"/>
        <w:tblLook w:firstColumn="1" w:firstRow="1" w:lastColumn="0" w:lastRow="0" w:noHBand="0" w:noVBand="1" w:val="04A0"/>
      </w:tblPr>
      <w:tblGrid>
        <w:gridCol w:w="2131"/>
        <w:gridCol w:w="8337"/>
      </w:tblGrid>
      <w:tr>
        <w:tc>
          <w:tcPr>
            <w:tcW w:type="dxa" w:w="10469"/>
            <w:gridSpan w:val="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3D6"/>
          </w:tcPr>
          <w:p>
            <w:pPr>
              <w:spacing w:before="0" w:after="0" w:line="240" w:lineRule="auto"/>
              <w:jc w:val="left"/>
            </w:pPr>
            <w:r>
              <w:rPr>
                <w:rFonts w:ascii="Aptos Narrow" w:hAnsi="Aptos Narrow"/>
                <w:b/>
                <w:color w:val="A86800"/>
                <w:sz w:val="18"/>
              </w:rPr>
              <w:t>FR-013 | Partial</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Requirement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Material School, Branch, configuration, and lifecycle changes must record the actor, target, outcome, before state, and difference where applicable.</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evidence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School create, Branch create, and Branch update emit platform audit evidence. Configuration and entitlement changes use a separate immutable configuration stream.</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Acceptance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Successful and failed privileged operations are traceable without exposing secrets or raw traceback data.</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limit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School update and reset configuration do not emit the expected platform events. Branch lifecycle history is now written on every successful transition.</w:t>
            </w:r>
          </w:p>
        </w:tc>
      </w:tr>
    </w:tbl>
    <w:p>
      <w:pPr>
        <w:pStyle w:val="Heading2"/>
        <w:spacing w:before="220" w:after="120" w:line="240" w:lineRule="auto"/>
        <w:keepNext/>
        <w:pBdr>
          <w:bottom w:val="single" w:sz="8" w:space="5" w:color="355B9D"/>
        </w:pBdr>
      </w:pPr>
      <w:r>
        <w:rPr>
          <w:rFonts w:ascii="Aptos Narrow" w:hAnsi="Aptos Narrow"/>
          <w:b/>
          <w:color w:val="000000"/>
          <w:sz w:val="27"/>
        </w:rPr>
        <w:t>FR-014  Reset School-Owned Configuration</w:t>
      </w:r>
    </w:p>
    <w:tbl>
      <w:tblPr>
        <w:tblW w:type="dxa" w:w="10468"/>
        <w:jc w:val="center"/>
        <w:tblLayout w:type="fixed"/>
        <w:tblLook w:firstColumn="1" w:firstRow="1" w:lastColumn="0" w:lastRow="0" w:noHBand="0" w:noVBand="1" w:val="04A0"/>
      </w:tblPr>
      <w:tblGrid>
        <w:gridCol w:w="2131"/>
        <w:gridCol w:w="8337"/>
      </w:tblGrid>
      <w:tr>
        <w:tc>
          <w:tcPr>
            <w:tcW w:type="dxa" w:w="10469"/>
            <w:gridSpan w:val="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3D6"/>
          </w:tcPr>
          <w:p>
            <w:pPr>
              <w:spacing w:before="0" w:after="0" w:line="240" w:lineRule="auto"/>
              <w:jc w:val="left"/>
            </w:pPr>
            <w:r>
              <w:rPr>
                <w:rFonts w:ascii="Aptos Narrow" w:hAnsi="Aptos Narrow"/>
                <w:b/>
                <w:color w:val="A86800"/>
                <w:sz w:val="18"/>
              </w:rPr>
              <w:t>FR-014 | Partial</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Requirement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A super administrator can deliberately reset defined School-owned settings to inherited platform defaults using School-bound confirmation and a recorded reason.</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evidence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POST /v1/i/{slug}/reset-config/ exists and currently deletes SchoolBranding inside a transaction.</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Acceptance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The confirmation must be bound to the target School, the exact reset scope must be declared, before/after state must be audited, and unrelated operational data must remain intact.</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limit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Any non-empty token passes. Entitlements, configuration values, overrides, localization, package setup, and audit evidence are not reset.</w:t>
            </w:r>
          </w:p>
        </w:tc>
      </w:tr>
    </w:tbl>
    <w:p>
      <w:pPr>
        <w:pStyle w:val="Heading2"/>
        <w:spacing w:before="220" w:after="120" w:line="240" w:lineRule="auto"/>
        <w:keepNext/>
        <w:pBdr>
          <w:bottom w:val="single" w:sz="8" w:space="5" w:color="355B9D"/>
        </w:pBdr>
      </w:pPr>
      <w:r>
        <w:rPr>
          <w:rFonts w:ascii="Aptos Narrow" w:hAnsi="Aptos Narrow"/>
          <w:b/>
          <w:color w:val="000000"/>
          <w:sz w:val="27"/>
        </w:rPr>
        <w:t>FR-015  Manage School Lifecycle and Safe Deletion</w:t>
      </w:r>
    </w:p>
    <w:tbl>
      <w:tblPr>
        <w:tblW w:type="dxa" w:w="10468"/>
        <w:jc w:val="center"/>
        <w:tblLayout w:type="fixed"/>
        <w:tblLook w:firstColumn="1" w:firstRow="1" w:lastColumn="0" w:lastRow="0" w:noHBand="0" w:noVBand="1" w:val="04A0"/>
      </w:tblPr>
      <w:tblGrid>
        <w:gridCol w:w="2131"/>
        <w:gridCol w:w="8337"/>
      </w:tblGrid>
      <w:tr>
        <w:tc>
          <w:tcPr>
            <w:tcW w:type="dxa" w:w="10469"/>
            <w:gridSpan w:val="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EEF1F5"/>
          </w:tcPr>
          <w:p>
            <w:pPr>
              <w:spacing w:before="0" w:after="0" w:line="240" w:lineRule="auto"/>
              <w:jc w:val="left"/>
            </w:pPr>
            <w:r>
              <w:rPr>
                <w:rFonts w:ascii="Aptos Narrow" w:hAnsi="Aptos Narrow"/>
                <w:b/>
                <w:color w:val="5E6B7A"/>
                <w:sz w:val="18"/>
              </w:rPr>
              <w:t>FR-015 | Partial</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Requirement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The platform requires explicit activation, suspension, reactivation, recoverable soft deletion, and guarded hard deletion with defined session and downstream-record behavior.</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evidence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School exposes PENDING, ACTIVE, INACTIVE, and now SUSPENDED, and School.save() synchronizes the paired Tenant status and its pending stamps. The only lifecycle path in service is the onboarding one: expiry suspends an abandoned School and platform staff return it to onboarding (FR-019).</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Acceptance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Lifecycle operations require dedicated permissions, synchronize Tenant state, revoke or restrict access as defined, protect dependent records, and emit audit evidence.</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limit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There is still no operator suspend or reactivate for commercial reasons, no DELETED state, no soft-delete field, no lifecycle endpoint in this module, and no guarded delete service. Direct School deletion does not reach Branch data: Branch has no school column and its protected foreign key is to the Tenant, so a School delete cascades only to branding, package setup, and the primary-admin link. The unhandled case is the mirror image. Deleting the School profile leaves its Tenant and every Branch under it standing with no School identity, and the protected Tenant relationship stops the Tenant being removed to tidy up.</w:t>
            </w:r>
          </w:p>
        </w:tc>
      </w:tr>
    </w:tbl>
    <w:p>
      <w:pPr>
        <w:pStyle w:val="Heading2"/>
        <w:spacing w:before="220" w:after="120" w:line="240" w:lineRule="auto"/>
        <w:keepNext/>
        <w:pBdr>
          <w:bottom w:val="single" w:sz="8" w:space="5" w:color="355B9D"/>
        </w:pBdr>
      </w:pPr>
      <w:r>
        <w:rPr>
          <w:rFonts w:ascii="Aptos Narrow" w:hAnsi="Aptos Narrow"/>
          <w:b/>
          <w:color w:val="000000"/>
          <w:sz w:val="27"/>
        </w:rPr>
        <w:t>FR-016  Handle Branch Overrides, Transfer, Clone, and Delete Safety</w:t>
      </w:r>
    </w:p>
    <w:tbl>
      <w:tblPr>
        <w:tblW w:type="dxa" w:w="10468"/>
        <w:jc w:val="center"/>
        <w:tblLayout w:type="fixed"/>
        <w:tblLook w:firstColumn="1" w:firstRow="1" w:lastColumn="0" w:lastRow="0" w:noHBand="0" w:noVBand="1" w:val="04A0"/>
      </w:tblPr>
      <w:tblGrid>
        <w:gridCol w:w="2131"/>
        <w:gridCol w:w="8337"/>
      </w:tblGrid>
      <w:tr>
        <w:tc>
          <w:tcPr>
            <w:tcW w:type="dxa" w:w="10469"/>
            <w:gridSpan w:val="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3D6"/>
          </w:tcPr>
          <w:p>
            <w:pPr>
              <w:spacing w:before="0" w:after="0" w:line="240" w:lineRule="auto"/>
              <w:jc w:val="left"/>
            </w:pPr>
            <w:r>
              <w:rPr>
                <w:rFonts w:ascii="Aptos Narrow" w:hAnsi="Aptos Narrow"/>
                <w:b/>
                <w:color w:val="A86800"/>
                <w:sz w:val="18"/>
              </w:rPr>
              <w:t>FR-016 | Partial</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Requirement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Branch capability overrides must resolve safely, while configuration cloning, staff and student transfer between Branches, and Branch deletion must respect ownership and dependent records. Transfer here moves people between Branches; a Branch itself is not transferable between Schools, because it is owned by the Tenant and a School is that Tenant's single profile.</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evidence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vs_config supports Branch-scoped overrides and effective-state evaluation.</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Acceptance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Clone, transfer, and delete operations must be explicit, permissioned, tenant-safe, audited, and blocked or migrated when active dependent records exist.</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limit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No supported Branch clone, staff/student transfer, or Branch delete endpoint and dependency-check service exists.</w:t>
            </w:r>
          </w:p>
        </w:tc>
      </w:tr>
    </w:tbl>
    <w:p>
      <w:pPr>
        <w:pStyle w:val="Heading2"/>
        <w:spacing w:before="220" w:after="120" w:line="240" w:lineRule="auto"/>
        <w:keepNext/>
        <w:pBdr>
          <w:bottom w:val="single" w:sz="8" w:space="5" w:color="355B9D"/>
        </w:pBdr>
      </w:pPr>
      <w:r>
        <w:rPr>
          <w:rFonts w:ascii="Aptos Narrow" w:hAnsi="Aptos Narrow"/>
          <w:b/>
          <w:color w:val="000000"/>
          <w:sz w:val="27"/>
        </w:rPr>
        <w:t>FR-017  Provision a School's Set of Books at Creation</w:t>
      </w:r>
    </w:p>
    <w:tbl>
      <w:tblPr>
        <w:tblW w:type="dxa" w:w="10468"/>
        <w:jc w:val="center"/>
        <w:tblLayout w:type="fixed"/>
        <w:tblLook w:firstColumn="1" w:firstRow="1" w:lastColumn="0" w:lastRow="0" w:noHBand="0" w:noVBand="1" w:val="04A0"/>
      </w:tblPr>
      <w:tblGrid>
        <w:gridCol w:w="2131"/>
        <w:gridCol w:w="8337"/>
      </w:tblGrid>
      <w:tr>
        <w:tc>
          <w:tcPr>
            <w:tcW w:type="dxa" w:w="10469"/>
            <w:gridSpan w:val="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E4F3EA"/>
          </w:tcPr>
          <w:p>
            <w:pPr>
              <w:spacing w:before="0" w:after="0" w:line="240" w:lineRule="auto"/>
              <w:jc w:val="left"/>
            </w:pPr>
            <w:r>
              <w:rPr>
                <w:rFonts w:ascii="Aptos Narrow" w:hAnsi="Aptos Narrow"/>
                <w:b/>
                <w:color w:val="1F7A4D"/>
                <w:sz w:val="18"/>
              </w:rPr>
              <w:t>FR-017 | Implemented</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Requirement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Every School must have its own set of books from the moment it is created, whether or not the finance capability is entitled, so that no School exists in a state that has to be repaired later.</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evidence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Books provisioning moved out of the finance entity endpoint into a finance service, and School creation calls it through a thin school-side bridge that translates name, slug, and currency into tenant and entity terms. The call is best effort inside its own savepoint, so a finance failure cannot roll back the School, its Tenant, its administrator, its Branches, or its entitlements. A second primary set of books for one Tenant is refused; the platform Tenant is exempt because CodeX legitimately keeps several.</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Acceptance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A School created with no finance entitlement still has books. A forced failure in books provisioning leaves the School and everything else created with it intact. Running the repair command twice creates nothing the second time.</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limit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Provisioning is best effort, so a School can exist without books until an operator runs manage.py provision_school_books. There is no endpoint and no alert for that condition; the failure is visible only in the log and in the Module 9 checklist step that stays open.</w:t>
            </w:r>
          </w:p>
        </w:tc>
      </w:tr>
    </w:tbl>
    <w:p>
      <w:pPr>
        <w:pStyle w:val="Heading2"/>
        <w:spacing w:before="220" w:after="120" w:line="240" w:lineRule="auto"/>
        <w:keepNext/>
        <w:pBdr>
          <w:bottom w:val="single" w:sz="8" w:space="5" w:color="355B9D"/>
        </w:pBdr>
      </w:pPr>
      <w:r>
        <w:rPr>
          <w:rFonts w:ascii="Aptos Narrow" w:hAnsi="Aptos Narrow"/>
          <w:b/>
          <w:color w:val="000000"/>
          <w:sz w:val="27"/>
        </w:rPr>
        <w:t>FR-018  Create Every School With at Least One Branch</w:t>
      </w:r>
    </w:p>
    <w:tbl>
      <w:tblPr>
        <w:tblW w:type="dxa" w:w="10468"/>
        <w:jc w:val="center"/>
        <w:tblLayout w:type="fixed"/>
        <w:tblLook w:firstColumn="1" w:firstRow="1" w:lastColumn="0" w:lastRow="0" w:noHBand="0" w:noVBand="1" w:val="04A0"/>
      </w:tblPr>
      <w:tblGrid>
        <w:gridCol w:w="2131"/>
        <w:gridCol w:w="8337"/>
      </w:tblGrid>
      <w:tr>
        <w:tc>
          <w:tcPr>
            <w:tcW w:type="dxa" w:w="10469"/>
            <w:gridSpan w:val="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E4F3EA"/>
          </w:tcPr>
          <w:p>
            <w:pPr>
              <w:spacing w:before="0" w:after="0" w:line="240" w:lineRule="auto"/>
              <w:jc w:val="left"/>
            </w:pPr>
            <w:r>
              <w:rPr>
                <w:rFonts w:ascii="Aptos Narrow" w:hAnsi="Aptos Narrow"/>
                <w:b/>
                <w:color w:val="1F7A4D"/>
                <w:sz w:val="18"/>
              </w:rPr>
              <w:t>FR-018 | Implemented</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Requirement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Every School must have somewhere to put a user, a document, and a record from the moment it exists, so a School must be created with at least one Branch and can never have none. How many sites a School runs must be read from those Branches rather than stored beside them.</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evidence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SchoolCreateSerializer.branches is required and rejects an empty list, with a message naming the main Branch. Where a single Branch is submitted without is_main, it is promoted, because a School's only site is its main site; two or more Branches must still name exactly one. The rules for unique Branch names and a single main Branch previously sat behind a condition that ran only when Branches were supplied, so they never ran for the payload that omitted them. The single-main rule is also a database constraint, uq_branch_one_main_per_tenant, so a write that bypasses the serializer cannot create a second one. The lifecycle now holds the same invariant from the other end: a School's only Branch cannot be taken out of service either, refused as LAST_BRANCH_CANNOT_LEAVE_SERVICE (FR-020). School.operates_branches is removed (vs_schools 0008) from the model and from the create, update, and detail serializers; the bulk importer shares this serializer and supplies a main Branch for a row whose Branch columns are blank.</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Acceptance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A creation payload with no branches key, or with an empty list, is rejected with 400 and writes no School, Tenant, or Branch. A School created with one Branch has that Branch as its main one. A School created with three keeps the shape it asked for, with codes allocated in order. An import row with no Branch columns still produces a School with a main Branch. No payload exposes or accepts a branch-operating flag.</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limit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The at-least-one-Branch half of the invariant is held by the creation serializer and, against retirement, by Branch.transition(); it is not held by the database, so nothing stops a direct ORM call from deleting a School's last Branch. The uniqueness the invariant leans on is at the database (FR-005), so the exposure here is confined to removal, not to duplication.</w:t>
            </w:r>
          </w:p>
        </w:tc>
      </w:tr>
    </w:tbl>
    <w:p>
      <w:pPr>
        <w:pStyle w:val="Heading2"/>
        <w:spacing w:before="220" w:after="120" w:line="240" w:lineRule="auto"/>
        <w:keepNext/>
        <w:pBdr>
          <w:bottom w:val="single" w:sz="8" w:space="5" w:color="355B9D"/>
        </w:pBdr>
      </w:pPr>
      <w:r>
        <w:rPr>
          <w:rFonts w:ascii="Aptos Narrow" w:hAnsi="Aptos Narrow"/>
          <w:b/>
          <w:color w:val="000000"/>
          <w:sz w:val="27"/>
        </w:rPr>
        <w:t>FR-019  Suspend a School Whose Onboarding Was Abandoned</w:t>
      </w:r>
    </w:p>
    <w:tbl>
      <w:tblPr>
        <w:tblW w:type="dxa" w:w="10468"/>
        <w:jc w:val="center"/>
        <w:tblLayout w:type="fixed"/>
        <w:tblLook w:firstColumn="1" w:firstRow="1" w:lastColumn="0" w:lastRow="0" w:noHBand="0" w:noVBand="1" w:val="04A0"/>
      </w:tblPr>
      <w:tblGrid>
        <w:gridCol w:w="2131"/>
        <w:gridCol w:w="8337"/>
      </w:tblGrid>
      <w:tr>
        <w:tc>
          <w:tcPr>
            <w:tcW w:type="dxa" w:w="10469"/>
            <w:gridSpan w:val="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E4F3EA"/>
          </w:tcPr>
          <w:p>
            <w:pPr>
              <w:spacing w:before="0" w:after="0" w:line="240" w:lineRule="auto"/>
              <w:jc w:val="left"/>
            </w:pPr>
            <w:r>
              <w:rPr>
                <w:rFonts w:ascii="Aptos Narrow" w:hAnsi="Aptos Narrow"/>
                <w:b/>
                <w:color w:val="1F7A4D"/>
                <w:sz w:val="18"/>
              </w:rPr>
              <w:t>FR-019 | Implemented with limits</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Requirement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A School that never completes onboarding holds a working sign-in for as long as it stays pending, so the platform must be able to end that state and to reverse the decision.</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evidence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School gained a SUSPENDED status, and the onboarding expiry sweep writes it through the School rather than beside it, because School.save() mirrors status onto the Tenant and a Tenant suspended on its own would be returned to PENDING by the next ordinary School edit. The mirror also maintains the Tenant's pending stamps: entering PENDING stamps them, leaving clears them, and an ordinary edit leaves them alone so the expiry clock does not restart. Platform staff return a suspended School to onboarding through the Module 9 reinstatement endpoint.</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Acceptance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A suspended School and its Tenant hold the same status, and an ordinary School edit does not silently reactivate either. Renaming a pending School does not restart its onboarding clock. Reinstatement gives the School a fresh window.</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limit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This is the onboarding lifecycle only. There is still no operator suspend or reactivate for commercial reasons, no recoverable soft delete, and no defined effect on live sessions.</w:t>
            </w:r>
          </w:p>
        </w:tc>
      </w:tr>
    </w:tbl>
    <w:p>
      <w:pPr>
        <w:pStyle w:val="Heading2"/>
        <w:spacing w:before="220" w:after="120" w:line="240" w:lineRule="auto"/>
        <w:keepNext/>
        <w:pBdr>
          <w:bottom w:val="single" w:sz="8" w:space="5" w:color="355B9D"/>
        </w:pBdr>
      </w:pPr>
      <w:r>
        <w:rPr>
          <w:rFonts w:ascii="Aptos Narrow" w:hAnsi="Aptos Narrow"/>
          <w:b/>
          <w:color w:val="000000"/>
          <w:sz w:val="27"/>
        </w:rPr>
        <w:t>FR-020  Keep an In-Service Main Branch and Hand the Designation Over</w:t>
      </w:r>
    </w:p>
    <w:tbl>
      <w:tblPr>
        <w:tblW w:type="dxa" w:w="10468"/>
        <w:jc w:val="center"/>
        <w:tblLayout w:type="fixed"/>
        <w:tblLook w:firstColumn="1" w:firstRow="1" w:lastColumn="0" w:lastRow="0" w:noHBand="0" w:noVBand="1" w:val="04A0"/>
      </w:tblPr>
      <w:tblGrid>
        <w:gridCol w:w="2131"/>
        <w:gridCol w:w="8337"/>
      </w:tblGrid>
      <w:tr>
        <w:tc>
          <w:tcPr>
            <w:tcW w:type="dxa" w:w="10469"/>
            <w:gridSpan w:val="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E4F3EA"/>
          </w:tcPr>
          <w:p>
            <w:pPr>
              <w:spacing w:before="0" w:after="0" w:line="240" w:lineRule="auto"/>
              <w:jc w:val="left"/>
            </w:pPr>
            <w:r>
              <w:rPr>
                <w:rFonts w:ascii="Aptos Narrow" w:hAnsi="Aptos Narrow"/>
                <w:b/>
                <w:color w:val="1F7A4D"/>
                <w:sz w:val="18"/>
              </w:rPr>
              <w:t>FR-020 | Implemented</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Requirement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A Tenant must always have exactly one main Branch that somebody may still be posted to. Taking that site out of service must be refused however the caller reaches it, and there must be a supported way to give the designation to another Branch first.</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evidence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Branch.transition() refuses every target in OUT_OF_SERVICE_STATES - SUSPENDED, INACTIVE and CLOSED - for a Branch carrying is_main. The guard sits at the one choke point the mark_* helpers, the transition serializer and the shell already pass through, and it is derived from that set rather than written out, so a lifecycle state added later is guarded the moment it is declared out of service. Two refusals are raised because the advice differs: MAIN_BRANCH_CANNOT_LEAVE_SERVICE where the Tenant has another Branch to promote, and LAST_BRANCH_CANNOT_LEAVE_SERVICE where it has none and the School itself has to be wound down instead. Both are BranchLifecycleError, so both answer 409. Branch.promote_to_main() is the way out: it locks the Tenant row, demotes the incumbent in its own UPDATE, then promotes this row, in that order because uq_branch_one_main_per_tenant is an ordinary partial unique index and cannot be deferred. Promoting an out-of-service Branch is refused as BRANCH_NOT_IN_SERVICE, and promoting the Branch that is already main is a deliberate no-op. BranchUpdateSerializer routes is_main=true through that method instead of writing the attribute, and refuses is_main=false on the sole main Branch.</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Acceptance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A main Branch cannot be suspended, deactivated or closed by any route, and the refusal is 409 with the code that names which of the two situations applies. A non-main Branch still moves through every allowed edge. Promotion leaves exactly one main Branch, does not trip the partial unique index, and never reaches a Branch owned by another Tenant. Promote-then-retire is the sequence the refusal message describes and it succeeds. A School is never left with no main Branch, whether by clearing the flag or by retiring the Branch that holds it.</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limit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A handover writes no BranchLifecycle row, because that table records status edges and no status changes; it is reconstructed from the Branch update audit diff, which carries is_main. Promotion is also exposed only on the platform Branch update endpoint, so a School administrator cannot hand the designation over inside their own School, and the guard does not by itself say what happens to records, sessions or Branch-bound users of the Branch that is finally retired (FR-011, FR-016).</w:t>
            </w:r>
          </w:p>
        </w:tc>
      </w:tr>
    </w:tbl>
    <w:p>
      <w:pPr>
        <w:pStyle w:val="Heading2"/>
        <w:spacing w:before="220" w:after="120" w:line="240" w:lineRule="auto"/>
        <w:keepNext/>
        <w:pBdr>
          <w:bottom w:val="single" w:sz="8" w:space="5" w:color="355B9D"/>
        </w:pBdr>
      </w:pPr>
      <w:r>
        <w:rPr>
          <w:rFonts w:ascii="Aptos Narrow" w:hAnsi="Aptos Narrow"/>
          <w:b/>
          <w:color w:val="000000"/>
          <w:sz w:val="27"/>
        </w:rPr>
        <w:t>FR-021  Govern and Freeze the School Sign-In Address</w:t>
      </w:r>
    </w:p>
    <w:tbl>
      <w:tblPr>
        <w:tblW w:type="dxa" w:w="10468"/>
        <w:jc w:val="center"/>
        <w:tblLayout w:type="fixed"/>
        <w:tblLook w:firstColumn="1" w:firstRow="1" w:lastColumn="0" w:lastRow="0" w:noHBand="0" w:noVBand="1" w:val="04A0"/>
      </w:tblPr>
      <w:tblGrid>
        <w:gridCol w:w="2131"/>
        <w:gridCol w:w="8337"/>
      </w:tblGrid>
      <w:tr>
        <w:tc>
          <w:tcPr>
            <w:tcW w:type="dxa" w:w="10469"/>
            <w:gridSpan w:val="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E4F3EA"/>
          </w:tcPr>
          <w:p>
            <w:pPr>
              <w:spacing w:before="0" w:after="0" w:line="240" w:lineRule="auto"/>
              <w:jc w:val="left"/>
            </w:pPr>
            <w:r>
              <w:rPr>
                <w:rFonts w:ascii="Aptos Narrow" w:hAnsi="Aptos Narrow"/>
                <w:b/>
                <w:color w:val="1F7A4D"/>
                <w:sz w:val="18"/>
              </w:rPr>
              <w:t>FR-021 | Implemented</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Requirement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Every Tenant is served at its own subdomain, so its slug is the address its people sign in at. It must never take a platform hostname, it must be correctable while the School is still being set up, and it must be fixed for ever once the School has been live.</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evidence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RESERVED_TENANT_SLUGS in vs_tenants holds the 67 hostnames the platform answers on or will answer on - the product and marketing hosts, the API and its neighbours, infrastructure and delivery names, the environment names, the platform Tenant's own codex, and the commercial surfaces - and it is enforced in Tenant.save() and clean() rather than on the field, because a field validator never runs on objects.create(). PLATFORM Tenants are exempt, since they are the infrastructure the list protects. A slug stays editable until the Tenant has ever been live and is frozen after, tested as activated_at is not null or status is ACTIVE rather than status alone: a School suspended over an unpaid invoice would otherwise rename itself while it is off, pay, return, and find every parent's sign-in address dead. School.save() mirrors the School's slug onto its Tenant while it is still editable and stops after go-live, so a correction reaches the address people actually type and no unrelated save re-points a row that had already diverged. SchoolUpdateSerializer exposes slug, normalises it the way the create path does, and checks the freeze first, then the reserved list, then uniqueness against School and separately against Tenant. The second check is not redundant: the mirror is a queryset update that can raise only IntegrityError, and a VIGIL or ORGANIZATION Tenant can hold the name with no School row to have caught it. School._check_slug_change() and Tenant._assert_slug_unchanged_once_live() remain the backstops for a shell or a data migration.</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Acceptance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A reserved slug is refused at creation and on update, however it is cased or spaced, while the platform Tenant keeps its own reserved name. A School that has never been live can correct a typo, and the correction reaches its Tenant, so the new address is the one its admins sign in at. A School that has ever been live is refused with 409 TENANT_SLUG_FROZEN naming the School and its current address, is still refused while suspended, and can still update every other field; re-sending its own slug unchanged is not a refusal. A slug already held by another School is refused with suggestions, and one held by a Tenant that has no School is refused as in use on the platform.</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limit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The School's display name is not writable on the same endpoint (Section 9), so the address can be corrected while the name it was derived from cannot. The freeze is absolute and unaudited: there is no operator path to move a live School's address deliberately with redirects or a grace period, and the pre-go-live correction that is permitted emits no platform audit event, because School update emits none at all (FR-009, FR-013).</w:t>
            </w:r>
          </w:p>
        </w:tc>
      </w:tr>
    </w:tbl>
    <w:p>
      <w:r>
        <w:br w:type="page"/>
      </w:r>
    </w:p>
    <w:p>
      <w:pPr>
        <w:pStyle w:val="Heading1"/>
        <w:spacing w:before="300" w:after="160" w:line="240" w:lineRule="auto"/>
        <w:keepNext/>
        <w:pBdr>
          <w:bottom w:val="single" w:sz="14" w:space="5" w:color="355B9D"/>
        </w:pBdr>
      </w:pPr>
      <w:r>
        <w:rPr>
          <w:rFonts w:ascii="Aptos Narrow" w:hAnsi="Aptos Narrow"/>
          <w:b/>
          <w:color w:val="000000"/>
          <w:sz w:val="34"/>
        </w:rPr>
        <w:t>5. Workflows and Lifecycle Rules</w:t>
      </w:r>
    </w:p>
    <w:p>
      <w:pPr>
        <w:pStyle w:val="Heading2"/>
        <w:spacing w:before="220" w:after="120" w:line="240" w:lineRule="auto"/>
        <w:keepNext/>
        <w:pBdr>
          <w:bottom w:val="single" w:sz="8" w:space="5" w:color="355B9D"/>
        </w:pBdr>
      </w:pPr>
      <w:r>
        <w:rPr>
          <w:rFonts w:ascii="Aptos Narrow" w:hAnsi="Aptos Narrow"/>
          <w:b/>
          <w:color w:val="000000"/>
          <w:sz w:val="27"/>
        </w:rPr>
        <w:t>5.1 School Creation Transaction</w:t>
      </w:r>
    </w:p>
    <w:tbl>
      <w:tblPr>
        <w:tblW w:type="dxa" w:w="10468"/>
        <w:jc w:val="center"/>
        <w:tblLayout w:type="fixed"/>
        <w:tblLook w:firstColumn="1" w:firstRow="1" w:lastColumn="0" w:lastRow="0" w:noHBand="0" w:noVBand="1" w:val="04A0"/>
      </w:tblPr>
      <w:tblGrid>
        <w:gridCol w:w="1296"/>
        <w:gridCol w:w="4536"/>
        <w:gridCol w:w="4636"/>
      </w:tblGrid>
      <w:tr>
        <w:trPr>
          <w:tblHeader w:val="true"/>
        </w:trPr>
        <w:tc>
          <w:tcPr>
            <w:tcW w:type="dxa" w:w="1296"/>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Step</w:t>
            </w:r>
          </w:p>
        </w:tc>
        <w:tc>
          <w:tcPr>
            <w:tcW w:type="dxa" w:w="4536"/>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Current behavior</w:t>
            </w:r>
          </w:p>
        </w:tc>
        <w:tc>
          <w:tcPr>
            <w:tcW w:type="dxa" w:w="4637"/>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Required outcome</w:t>
            </w:r>
          </w:p>
        </w:tc>
      </w:tr>
      <w:tr>
        <w:tc>
          <w:tcPr>
            <w:tcW w:type="dxa" w:w="129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1. Validate</w:t>
            </w:r>
          </w:p>
        </w:tc>
        <w:tc>
          <w:tcPr>
            <w:tcW w:type="dxa" w:w="45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Validate School identifiers, the required Branch list and its rules, admins, package, and explicit values; fill omitted onboarding defaults.</w:t>
            </w:r>
          </w:p>
        </w:tc>
        <w:tc>
          <w:tcPr>
            <w:tcW w:type="dxa" w:w="46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Reject invalid payloads, including one carrying no Branch, before durable side effects.</w:t>
            </w:r>
          </w:p>
        </w:tc>
      </w:tr>
      <w:tr>
        <w:tc>
          <w:tcPr>
            <w:tcW w:type="dxa" w:w="129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2. Create boundary</w:t>
            </w:r>
          </w:p>
        </w:tc>
        <w:tc>
          <w:tcPr>
            <w:tcW w:type="dxa" w:w="45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Create Tenant and School in one transaction; allocate the SC document code.</w:t>
            </w:r>
          </w:p>
        </w:tc>
        <w:tc>
          <w:tcPr>
            <w:tcW w:type="dxa" w:w="46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Persist exactly one protected Tenant per School.</w:t>
            </w:r>
          </w:p>
        </w:tc>
      </w:tr>
      <w:tr>
        <w:tc>
          <w:tcPr>
            <w:tcW w:type="dxa" w:w="129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3. Optional School records</w:t>
            </w:r>
          </w:p>
        </w:tc>
        <w:tc>
          <w:tcPr>
            <w:tcW w:type="dxa" w:w="45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Create branding and primary School admin link.</w:t>
            </w:r>
          </w:p>
        </w:tc>
        <w:tc>
          <w:tcPr>
            <w:tcW w:type="dxa" w:w="46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Keep identity records consistent and traceable.</w:t>
            </w:r>
          </w:p>
        </w:tc>
      </w:tr>
      <w:tr>
        <w:tc>
          <w:tcPr>
            <w:tcW w:type="dxa" w:w="129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4. Branches</w:t>
            </w:r>
          </w:p>
        </w:tc>
        <w:tc>
          <w:tcPr>
            <w:tcW w:type="dxa" w:w="45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Create the submitted Branches, initial lifecycle rows, primary admin links, roles, and invitations. At least one is always present and exactly one is main.</w:t>
            </w:r>
          </w:p>
        </w:tc>
        <w:tc>
          <w:tcPr>
            <w:tcW w:type="dxa" w:w="46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Keep all database writes atomic except the deliberate invitation savepoint, and never persist a School with no Branch.</w:t>
            </w:r>
          </w:p>
        </w:tc>
      </w:tr>
      <w:tr>
        <w:tc>
          <w:tcPr>
            <w:tcW w:type="dxa" w:w="129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5. Package and capabilities</w:t>
            </w:r>
          </w:p>
        </w:tc>
        <w:tc>
          <w:tcPr>
            <w:tcW w:type="dxa" w:w="45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Create SchoolPackageSetup and dependency-closed entitlements.</w:t>
            </w:r>
          </w:p>
        </w:tc>
        <w:tc>
          <w:tcPr>
            <w:tcW w:type="dxa" w:w="46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Reject invalid capacity, expiry, or capability input.</w:t>
            </w:r>
          </w:p>
        </w:tc>
      </w:tr>
      <w:tr>
        <w:tc>
          <w:tcPr>
            <w:tcW w:type="dxa" w:w="129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6. Evidence</w:t>
            </w:r>
          </w:p>
        </w:tc>
        <w:tc>
          <w:tcPr>
            <w:tcW w:type="dxa" w:w="45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Emit School and Branch creation audit events; dispatch invitations asynchronously.</w:t>
            </w:r>
          </w:p>
        </w:tc>
        <w:tc>
          <w:tcPr>
            <w:tcW w:type="dxa" w:w="46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Expose failed invitation reconciliation without rolling back valid School creation.</w:t>
            </w:r>
          </w:p>
        </w:tc>
      </w:tr>
    </w:tbl>
    <w:p>
      <w:pPr>
        <w:pStyle w:val="Heading2"/>
        <w:spacing w:before="220" w:after="120" w:line="240" w:lineRule="auto"/>
        <w:keepNext/>
        <w:pBdr>
          <w:bottom w:val="single" w:sz="8" w:space="5" w:color="355B9D"/>
        </w:pBdr>
      </w:pPr>
      <w:r>
        <w:rPr>
          <w:rFonts w:ascii="Aptos Narrow" w:hAnsi="Aptos Narrow"/>
          <w:b/>
          <w:color w:val="000000"/>
          <w:sz w:val="27"/>
        </w:rPr>
        <w:t>5.2 Branch Lifecycle</w:t>
      </w:r>
    </w:p>
    <w:tbl>
      <w:tblPr>
        <w:tblW w:type="dxa" w:w="10468"/>
        <w:jc w:val="center"/>
        <w:tblLayout w:type="fixed"/>
        <w:tblLook w:firstColumn="1" w:firstRow="1" w:lastColumn="0" w:lastRow="0" w:noHBand="0" w:noVBand="1" w:val="04A0"/>
      </w:tblPr>
      <w:tblGrid>
        <w:gridCol w:w="1800"/>
        <w:gridCol w:w="4104"/>
        <w:gridCol w:w="4564"/>
      </w:tblGrid>
      <w:tr>
        <w:trPr>
          <w:tblHeader w:val="true"/>
        </w:trPr>
        <w:tc>
          <w:tcPr>
            <w:tcW w:type="dxa" w:w="1800"/>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Area</w:t>
            </w:r>
          </w:p>
        </w:tc>
        <w:tc>
          <w:tcPr>
            <w:tcW w:type="dxa" w:w="4104"/>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Current state</w:t>
            </w:r>
          </w:p>
        </w:tc>
        <w:tc>
          <w:tcPr>
            <w:tcW w:type="dxa" w:w="4565"/>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Required rule</w:t>
            </w:r>
          </w:p>
        </w:tc>
      </w:tr>
      <w:tr>
        <w:tc>
          <w:tcPr>
            <w:tcW w:type="dxa" w:w="180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6"/>
              </w:rPr>
              <w:t>States</w:t>
            </w:r>
          </w:p>
        </w:tc>
        <w:tc>
          <w:tcPr>
            <w:tcW w:type="dxa" w:w="410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6"/>
              </w:rPr>
              <w:t>PENDING, ACTIVE, SUSPENDED, INACTIVE, CLOSED</w:t>
            </w:r>
          </w:p>
        </w:tc>
        <w:tc>
          <w:tcPr>
            <w:tcW w:type="dxa" w:w="456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6"/>
              </w:rPr>
              <w:t>Branch.ALLOWED_TRANSITIONS publishes the matrix and refuses every other move with INVALID_BRANCH_TRANSITION.</w:t>
            </w:r>
          </w:p>
        </w:tc>
      </w:tr>
      <w:tr>
        <w:tc>
          <w:tcPr>
            <w:tcW w:type="dxa" w:w="180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val="clear" w:color="auto"/>
          </w:tcPr>
          <w:p>
            <w:pPr>
              <w:spacing w:before="0" w:after="0" w:line="240" w:lineRule="auto"/>
              <w:jc w:val="left"/>
            </w:pPr>
            <w:r>
              <w:rPr>
                <w:rFonts w:ascii="Aptos Narrow" w:hAnsi="Aptos Narrow"/>
                <w:b w:val="0"/>
                <w:color w:val="000000"/>
                <w:sz w:val="16"/>
              </w:rPr>
              <w:t>Persistence</w:t>
            </w:r>
          </w:p>
        </w:tc>
        <w:tc>
          <w:tcPr>
            <w:tcW w:type="dxa" w:w="410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val="clear" w:color="auto"/>
          </w:tcPr>
          <w:p>
            <w:pPr>
              <w:spacing w:before="0" w:after="0" w:line="240" w:lineRule="auto"/>
              <w:jc w:val="left"/>
            </w:pPr>
            <w:r>
              <w:rPr>
                <w:rFonts w:ascii="Aptos Narrow" w:hAnsi="Aptos Narrow"/>
                <w:b w:val="0"/>
                <w:color w:val="000000"/>
                <w:sz w:val="16"/>
              </w:rPr>
              <w:t>The save call persists status, activated_at, deactivated_at, and closed_at.</w:t>
            </w:r>
          </w:p>
        </w:tc>
        <w:tc>
          <w:tcPr>
            <w:tcW w:type="dxa" w:w="456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val="clear" w:color="auto"/>
          </w:tcPr>
          <w:p>
            <w:pPr>
              <w:spacing w:before="0" w:after="0" w:line="240" w:lineRule="auto"/>
              <w:jc w:val="left"/>
            </w:pPr>
            <w:r>
              <w:rPr>
                <w:rFonts w:ascii="Aptos Narrow" w:hAnsi="Aptos Narrow"/>
                <w:b w:val="0"/>
                <w:color w:val="000000"/>
                <w:sz w:val="16"/>
              </w:rPr>
              <w:t>BranchLifecycle is written in the same transaction as the status change.</w:t>
            </w:r>
          </w:p>
        </w:tc>
      </w:tr>
      <w:tr>
        <w:tc>
          <w:tcPr>
            <w:tcW w:type="dxa" w:w="180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6"/>
              </w:rPr>
              <w:t>Timestamps</w:t>
            </w:r>
          </w:p>
        </w:tc>
        <w:tc>
          <w:tcPr>
            <w:tcW w:type="dxa" w:w="410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6"/>
              </w:rPr>
              <w:t>activated_at records first activation only; deactivated_at is stamped on SUSPENDED, INACTIVE, and CLOSED and cleared on return to ACTIVE; CLOSED stamps closed_at.</w:t>
            </w:r>
          </w:p>
        </w:tc>
        <w:tc>
          <w:tcPr>
            <w:tcW w:type="dxa" w:w="456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6"/>
              </w:rPr>
              <w:t>Retain this policy for every new state.</w:t>
            </w:r>
          </w:p>
        </w:tc>
      </w:tr>
      <w:tr>
        <w:tc>
          <w:tcPr>
            <w:tcW w:type="dxa" w:w="180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val="clear" w:color="auto"/>
          </w:tcPr>
          <w:p>
            <w:pPr>
              <w:spacing w:before="0" w:after="0" w:line="240" w:lineRule="auto"/>
              <w:jc w:val="left"/>
            </w:pPr>
            <w:r>
              <w:rPr>
                <w:rFonts w:ascii="Aptos Narrow" w:hAnsi="Aptos Narrow"/>
                <w:b w:val="0"/>
                <w:color w:val="000000"/>
                <w:sz w:val="16"/>
              </w:rPr>
              <w:t>Access</w:t>
            </w:r>
          </w:p>
        </w:tc>
        <w:tc>
          <w:tcPr>
            <w:tcW w:type="dxa" w:w="410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val="clear" w:color="auto"/>
          </w:tcPr>
          <w:p>
            <w:pPr>
              <w:spacing w:before="0" w:after="0" w:line="240" w:lineRule="auto"/>
              <w:jc w:val="left"/>
            </w:pPr>
            <w:r>
              <w:rPr>
                <w:rFonts w:ascii="Aptos Narrow" w:hAnsi="Aptos Narrow"/>
                <w:b w:val="0"/>
                <w:color w:val="000000"/>
                <w:sz w:val="16"/>
              </w:rPr>
              <w:t>Closed-Branch access effects are not defined.</w:t>
            </w:r>
          </w:p>
        </w:tc>
        <w:tc>
          <w:tcPr>
            <w:tcW w:type="dxa" w:w="456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val="clear" w:color="auto"/>
          </w:tcPr>
          <w:p>
            <w:pPr>
              <w:spacing w:before="0" w:after="0" w:line="240" w:lineRule="auto"/>
              <w:jc w:val="left"/>
            </w:pPr>
            <w:r>
              <w:rPr>
                <w:rFonts w:ascii="Aptos Narrow" w:hAnsi="Aptos Narrow"/>
                <w:b w:val="0"/>
                <w:color w:val="000000"/>
                <w:sz w:val="16"/>
              </w:rPr>
              <w:t>Define authentication, session, write, read-only, transfer, and dependent-record rules.</w:t>
            </w:r>
          </w:p>
        </w:tc>
      </w:tr>
      <w:tr>
        <w:tc>
          <w:tcPr>
            <w:tcW w:type="dxa" w:w="180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6"/>
              </w:rPr>
              <w:t>Main Branch</w:t>
            </w:r>
          </w:p>
        </w:tc>
        <w:tc>
          <w:tcPr>
            <w:tcW w:type="dxa" w:w="410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6"/>
              </w:rPr>
              <w:t>Branch.transition() refuses every out-of-service target for the Branch carrying is_main, so a Tenant is never left with a canonical site nobody may be posted to. MAIN_BRANCH_CANNOT_LEAVE_SERVICE where the Tenant has another Branch to promote; LAST_BRANCH_CANNOT_LEAVE_SERVICE where it has none.</w:t>
            </w:r>
          </w:p>
        </w:tc>
        <w:tc>
          <w:tcPr>
            <w:tcW w:type="dxa" w:w="456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6"/>
              </w:rPr>
              <w:t>Hand the designation over with promote_to_main() first, then retire the former main Branch. Keep the guard derived from OUT_OF_SERVICE_STATES so a state added later is covered the moment it is declared out of service.</w:t>
            </w:r>
          </w:p>
        </w:tc>
      </w:tr>
      <w:tr>
        <w:tc>
          <w:tcPr>
            <w:tcW w:type="dxa" w:w="180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val="clear" w:color="auto"/>
          </w:tcPr>
          <w:p>
            <w:pPr>
              <w:spacing w:before="0" w:after="0" w:line="240" w:lineRule="auto"/>
              <w:jc w:val="left"/>
            </w:pPr>
            <w:r>
              <w:rPr>
                <w:rFonts w:ascii="Aptos Narrow" w:hAnsi="Aptos Narrow"/>
                <w:b w:val="0"/>
                <w:color w:val="000000"/>
                <w:sz w:val="16"/>
              </w:rPr>
              <w:t>Main-Branch handover</w:t>
            </w:r>
          </w:p>
        </w:tc>
        <w:tc>
          <w:tcPr>
            <w:tcW w:type="dxa" w:w="410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val="clear" w:color="auto"/>
          </w:tcPr>
          <w:p>
            <w:pPr>
              <w:spacing w:before="0" w:after="0" w:line="240" w:lineRule="auto"/>
              <w:jc w:val="left"/>
            </w:pPr>
            <w:r>
              <w:rPr>
                <w:rFonts w:ascii="Aptos Narrow" w:hAnsi="Aptos Narrow"/>
                <w:b w:val="0"/>
                <w:color w:val="000000"/>
                <w:sz w:val="16"/>
              </w:rPr>
              <w:t>promote_to_main() locks the Tenant row, demotes the incumbent in its own UPDATE, then promotes this row. Promoting an out-of-service Branch is refused as BRANCH_NOT_IN_SERVICE, and no BranchLifecycle row is written because no status changes.</w:t>
            </w:r>
          </w:p>
        </w:tc>
        <w:tc>
          <w:tcPr>
            <w:tcW w:type="dxa" w:w="456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val="clear" w:color="auto"/>
          </w:tcPr>
          <w:p>
            <w:pPr>
              <w:spacing w:before="0" w:after="0" w:line="240" w:lineRule="auto"/>
              <w:jc w:val="left"/>
            </w:pPr>
            <w:r>
              <w:rPr>
                <w:rFonts w:ascii="Aptos Narrow" w:hAnsi="Aptos Narrow"/>
                <w:b w:val="0"/>
                <w:color w:val="000000"/>
                <w:sz w:val="16"/>
              </w:rPr>
              <w:t>Keep the demote-then-promote order for as long as uq_branch_one_main_per_tenant is a non-deferrable partial unique index, and keep the handover visible in the Branch update audit diff.</w:t>
            </w:r>
          </w:p>
        </w:tc>
      </w:tr>
      <w:tr>
        <w:tc>
          <w:tcPr>
            <w:tcW w:type="dxa" w:w="180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6"/>
              </w:rPr>
              <w:t>Authorization</w:t>
            </w:r>
          </w:p>
        </w:tc>
        <w:tc>
          <w:tcPr>
            <w:tcW w:type="dxa" w:w="410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6"/>
              </w:rPr>
              <w:t>IsVisionStaff and platform.branches.manage</w:t>
            </w:r>
          </w:p>
        </w:tc>
        <w:tc>
          <w:tcPr>
            <w:tcW w:type="dxa" w:w="456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6"/>
              </w:rPr>
              <w:t>Retain both gates so a mis-granted key cannot reach a platform commercial action.</w:t>
            </w:r>
          </w:p>
        </w:tc>
      </w:tr>
    </w:tbl>
    <w:p>
      <w:pPr>
        <w:pStyle w:val="Heading2"/>
        <w:spacing w:before="220" w:after="120" w:line="240" w:lineRule="auto"/>
        <w:keepNext/>
        <w:pBdr>
          <w:bottom w:val="single" w:sz="8" w:space="5" w:color="355B9D"/>
        </w:pBdr>
      </w:pPr>
      <w:r>
        <w:rPr>
          <w:rFonts w:ascii="Aptos Narrow" w:hAnsi="Aptos Narrow"/>
          <w:b/>
          <w:color w:val="000000"/>
          <w:sz w:val="27"/>
        </w:rPr>
        <w:t>5.3 School Reset</w:t>
      </w:r>
    </w:p>
    <w:tbl>
      <w:tblPr>
        <w:tblW w:type="dxa" w:w="10468"/>
        <w:jc w:val="center"/>
        <w:tblLayout w:type="fixed"/>
        <w:tblLook w:firstColumn="1" w:firstRow="1" w:lastColumn="0" w:lastRow="0" w:noHBand="0" w:noVBand="1" w:val="04A0"/>
      </w:tblPr>
      <w:tblGrid>
        <w:gridCol w:w="10468"/>
      </w:tblGrid>
      <w:tr>
        <w:tc>
          <w:tcPr>
            <w:tcW w:type="dxa" w:w="10469"/>
            <w:shd w:fill="FFF3D6"/>
            <w:tcBorders>
              <w:top w:val="single" w:sz="9" w:color="A86800"/>
              <w:left w:val="single" w:sz="9" w:color="A86800"/>
              <w:bottom w:val="single" w:sz="9" w:color="A86800"/>
              <w:right w:val="single" w:sz="9" w:color="A86800"/>
              <w:insideH w:val="single" w:sz="9" w:color="A86800"/>
              <w:insideV w:val="single" w:sz="9" w:color="A86800"/>
            </w:tcBorders>
            <w:tcMar>
              <w:top w:w="100" w:type="dxa"/>
              <w:start w:w="120" w:type="dxa"/>
              <w:bottom w:w="100" w:type="dxa"/>
              <w:end w:w="120" w:type="dxa"/>
            </w:tcMar>
          </w:tcPr>
          <w:p>
            <w:pPr>
              <w:spacing w:before="0" w:after="60" w:line="240" w:lineRule="auto"/>
            </w:pPr>
            <w:r>
              <w:rPr>
                <w:rFonts w:ascii="Aptos Narrow" w:hAnsi="Aptos Narrow"/>
                <w:b/>
                <w:color w:val="A86800"/>
                <w:sz w:val="18"/>
              </w:rPr>
              <w:t>REQUIRED RESET CONTRACT</w:t>
            </w:r>
          </w:p>
          <w:p>
            <w:pPr>
              <w:spacing w:before="0" w:after="40" w:line="240" w:lineRule="auto"/>
            </w:pPr>
            <w:r>
              <w:rPr>
                <w:rFonts w:ascii="Aptos Narrow" w:hAnsi="Aptos Narrow"/>
                <w:b w:val="0"/>
                <w:color w:val="000000"/>
                <w:sz w:val="17"/>
              </w:rPr>
              <w:t>• Declare whether branding, configuration values, School overrides, Branch overrides, entitlements, and package setup are included.</w:t>
            </w:r>
          </w:p>
          <w:p>
            <w:pPr>
              <w:spacing w:before="0" w:after="40" w:line="240" w:lineRule="auto"/>
            </w:pPr>
            <w:r>
              <w:rPr>
                <w:rFonts w:ascii="Aptos Narrow" w:hAnsi="Aptos Narrow"/>
                <w:b w:val="0"/>
                <w:color w:val="000000"/>
                <w:sz w:val="17"/>
              </w:rPr>
              <w:t>• Bind confirmation to the School identity and reject reusable arbitrary tokens.</w:t>
            </w:r>
          </w:p>
          <w:p>
            <w:pPr>
              <w:spacing w:before="0" w:after="40" w:line="240" w:lineRule="auto"/>
            </w:pPr>
            <w:r>
              <w:rPr>
                <w:rFonts w:ascii="Aptos Narrow" w:hAnsi="Aptos Narrow"/>
                <w:b w:val="0"/>
                <w:color w:val="000000"/>
                <w:sz w:val="17"/>
              </w:rPr>
              <w:t>• Record before and after snapshots and the operator's reason.</w:t>
            </w:r>
          </w:p>
          <w:p>
            <w:pPr>
              <w:spacing w:before="0" w:after="40" w:line="240" w:lineRule="auto"/>
            </w:pPr>
            <w:r>
              <w:rPr>
                <w:rFonts w:ascii="Aptos Narrow" w:hAnsi="Aptos Narrow"/>
                <w:b w:val="0"/>
                <w:color w:val="000000"/>
                <w:sz w:val="17"/>
              </w:rPr>
              <w:t>• Never delete operational School or Branch data as a side effect of configuration reset.</w:t>
            </w:r>
          </w:p>
        </w:tc>
      </w:tr>
    </w:tbl>
    <w:p>
      <w:r>
        <w:br w:type="page"/>
      </w:r>
    </w:p>
    <w:p>
      <w:pPr>
        <w:pStyle w:val="Heading1"/>
        <w:spacing w:before="300" w:after="160" w:line="240" w:lineRule="auto"/>
        <w:keepNext/>
        <w:pBdr>
          <w:bottom w:val="single" w:sz="14" w:space="5" w:color="355B9D"/>
        </w:pBdr>
      </w:pPr>
      <w:r>
        <w:rPr>
          <w:rFonts w:ascii="Aptos Narrow" w:hAnsi="Aptos Narrow"/>
          <w:b/>
          <w:color w:val="000000"/>
          <w:sz w:val="34"/>
        </w:rPr>
        <w:t>6. Data Model and Relationships</w:t>
      </w:r>
    </w:p>
    <w:tbl>
      <w:tblPr>
        <w:tblW w:type="dxa" w:w="10468"/>
        <w:jc w:val="center"/>
        <w:tblLayout w:type="fixed"/>
        <w:tblLook w:firstColumn="1" w:firstRow="1" w:lastColumn="0" w:lastRow="0" w:noHBand="0" w:noVBand="1" w:val="04A0"/>
      </w:tblPr>
      <w:tblGrid>
        <w:gridCol w:w="2232"/>
        <w:gridCol w:w="3384"/>
        <w:gridCol w:w="4852"/>
      </w:tblGrid>
      <w:tr>
        <w:trPr>
          <w:tblHeader w:val="true"/>
        </w:trPr>
        <w:tc>
          <w:tcPr>
            <w:tcW w:type="dxa" w:w="2232"/>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Model</w:t>
            </w:r>
          </w:p>
        </w:tc>
        <w:tc>
          <w:tcPr>
            <w:tcW w:type="dxa" w:w="3384"/>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Purpose</w:t>
            </w:r>
          </w:p>
        </w:tc>
        <w:tc>
          <w:tcPr>
            <w:tcW w:type="dxa" w:w="4853"/>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Key safety contract</w:t>
            </w:r>
          </w:p>
        </w:tc>
      </w:tr>
      <w:tr>
        <w:tc>
          <w:tcPr>
            <w:tcW w:type="dxa" w:w="223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School</w:t>
            </w:r>
          </w:p>
        </w:tc>
        <w:tc>
          <w:tcPr>
            <w:tcW w:type="dxa" w:w="33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Business identity and School metadata</w:t>
            </w:r>
          </w:p>
        </w:tc>
        <w:tc>
          <w:tcPr>
            <w:tcW w:type="dxa" w:w="485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Unique slug/code; protected one-to-one Tenant; at least one Branch from creation; PENDING, ACTIVE, INACTIVE, and SUSPENDED, mirrored onto the Tenant with its pending stamps on every save; the slug is mirrored too while the School has never been live, and frozen once it has</w:t>
            </w:r>
          </w:p>
        </w:tc>
      </w:tr>
      <w:tr>
        <w:tc>
          <w:tcPr>
            <w:tcW w:type="dxa" w:w="223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Tenant</w:t>
            </w:r>
          </w:p>
        </w:tc>
        <w:tc>
          <w:tcPr>
            <w:tcW w:type="dxa" w:w="33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Security and ownership boundary</w:t>
            </w:r>
          </w:p>
        </w:tc>
        <w:tc>
          <w:tcPr>
            <w:tcW w:type="dxa" w:w="485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One School profile; status, activation timestamps, and the onboarding pending stamps synchronized by School.save(); ACTIVE or PENDING may authenticate; the slug is the sign-in subdomain, may not be a reserved platform hostname, and cannot move once the Tenant has been live</w:t>
            </w:r>
          </w:p>
        </w:tc>
      </w:tr>
      <w:tr>
        <w:tc>
          <w:tcPr>
            <w:tcW w:type="dxa" w:w="223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Branch</w:t>
            </w:r>
          </w:p>
        </w:tc>
        <w:tc>
          <w:tcPr>
            <w:tcW w:type="dxa" w:w="33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Campus or operating location</w:t>
            </w:r>
          </w:p>
        </w:tc>
        <w:tc>
          <w:tcPr>
            <w:tcW w:type="dxa" w:w="485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Belongs directly to one Tenant through a protected foreign key, with no school column of its own; tenant-aware manager; unique code per Tenant and one main Branch per Tenant enforced by database constraints; the main Branch must stay in service and the designation is handed over rather than cleared</w:t>
            </w:r>
          </w:p>
        </w:tc>
      </w:tr>
      <w:tr>
        <w:tc>
          <w:tcPr>
            <w:tcW w:type="dxa" w:w="223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SchoolBranding</w:t>
            </w:r>
          </w:p>
        </w:tc>
        <w:tc>
          <w:tcPr>
            <w:tcW w:type="dxa" w:w="33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School logo container</w:t>
            </w:r>
          </w:p>
        </w:tc>
        <w:tc>
          <w:tcPr>
            <w:tcW w:type="dxa" w:w="485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One-to-one School; logo only</w:t>
            </w:r>
          </w:p>
        </w:tc>
      </w:tr>
      <w:tr>
        <w:tc>
          <w:tcPr>
            <w:tcW w:type="dxa" w:w="223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PackagePlan</w:t>
            </w:r>
          </w:p>
        </w:tc>
        <w:tc>
          <w:tcPr>
            <w:tcW w:type="dxa" w:w="33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Subscription plan catalogue</w:t>
            </w:r>
          </w:p>
        </w:tc>
        <w:tc>
          <w:tcPr>
            <w:tcW w:type="dxa" w:w="485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Unique code/name; capacity maxima; active catalogue flag</w:t>
            </w:r>
          </w:p>
        </w:tc>
      </w:tr>
      <w:tr>
        <w:tc>
          <w:tcPr>
            <w:tcW w:type="dxa" w:w="223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SchoolPackageSetup</w:t>
            </w:r>
          </w:p>
        </w:tc>
        <w:tc>
          <w:tcPr>
            <w:tcW w:type="dxa" w:w="33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Selected plan, capacities, expiry</w:t>
            </w:r>
          </w:p>
        </w:tc>
        <w:tc>
          <w:tcPr>
            <w:tcW w:type="dxa" w:w="485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One-to-one School; protected plan relationship</w:t>
            </w:r>
          </w:p>
        </w:tc>
      </w:tr>
      <w:tr>
        <w:tc>
          <w:tcPr>
            <w:tcW w:type="dxa" w:w="223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ContactInfo</w:t>
            </w:r>
          </w:p>
        </w:tc>
        <w:tc>
          <w:tcPr>
            <w:tcW w:type="dxa" w:w="33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Primary admin contact card</w:t>
            </w:r>
          </w:p>
        </w:tc>
        <w:tc>
          <w:tcPr>
            <w:tcW w:type="dxa" w:w="485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Email indexed but not database-unique</w:t>
            </w:r>
          </w:p>
        </w:tc>
      </w:tr>
      <w:tr>
        <w:tc>
          <w:tcPr>
            <w:tcW w:type="dxa" w:w="223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SchoolPrimaryAdmin</w:t>
            </w:r>
          </w:p>
        </w:tc>
        <w:tc>
          <w:tcPr>
            <w:tcW w:type="dxa" w:w="33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School admin contact and invitation state</w:t>
            </w:r>
          </w:p>
        </w:tc>
        <w:tc>
          <w:tcPr>
            <w:tcW w:type="dxa" w:w="485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One-to-one School</w:t>
            </w:r>
          </w:p>
        </w:tc>
      </w:tr>
      <w:tr>
        <w:tc>
          <w:tcPr>
            <w:tcW w:type="dxa" w:w="223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BranchPrimaryAdmin</w:t>
            </w:r>
          </w:p>
        </w:tc>
        <w:tc>
          <w:tcPr>
            <w:tcW w:type="dxa" w:w="33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Branch admin contact and invitation state</w:t>
            </w:r>
          </w:p>
        </w:tc>
        <w:tc>
          <w:tcPr>
            <w:tcW w:type="dxa" w:w="485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One-to-one Branch</w:t>
            </w:r>
          </w:p>
        </w:tc>
      </w:tr>
      <w:tr>
        <w:tc>
          <w:tcPr>
            <w:tcW w:type="dxa" w:w="223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BranchLifecycle</w:t>
            </w:r>
          </w:p>
        </w:tc>
        <w:tc>
          <w:tcPr>
            <w:tcW w:type="dxa" w:w="33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Branch state-change history</w:t>
            </w:r>
          </w:p>
        </w:tc>
        <w:tc>
          <w:tcPr>
            <w:tcW w:type="dxa" w:w="485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Deleted with Branch today; written on every successful transition, and not for a main-Branch handover, which changes no status; from_state and actor_id are declared blank for a creation event and a system-driven transition (vs_tenants 0007)</w:t>
            </w:r>
          </w:p>
        </w:tc>
      </w:tr>
    </w:tbl>
    <w:p>
      <w:pPr>
        <w:pStyle w:val="Heading2"/>
        <w:spacing w:before="220" w:after="120" w:line="240" w:lineRule="auto"/>
        <w:keepNext/>
        <w:pBdr>
          <w:bottom w:val="single" w:sz="8" w:space="5" w:color="355B9D"/>
        </w:pBdr>
      </w:pPr>
      <w:r>
        <w:rPr>
          <w:rFonts w:ascii="Aptos Narrow" w:hAnsi="Aptos Narrow"/>
          <w:b/>
          <w:color w:val="000000"/>
          <w:sz w:val="27"/>
        </w:rPr>
        <w:t>6.1 Relationship Decisions</w:t>
      </w:r>
    </w:p>
    <w:tbl>
      <w:tblPr>
        <w:tblW w:type="dxa" w:w="10468"/>
        <w:jc w:val="center"/>
        <w:tblLayout w:type="fixed"/>
        <w:tblLook w:firstColumn="1" w:firstRow="1" w:lastColumn="0" w:lastRow="0" w:noHBand="0" w:noVBand="1" w:val="04A0"/>
      </w:tblPr>
      <w:tblGrid>
        <w:gridCol w:w="10468"/>
      </w:tblGrid>
      <w:tr>
        <w:tc>
          <w:tcPr>
            <w:tcW w:type="dxa" w:w="10469"/>
            <w:shd w:fill="FCE8E6"/>
            <w:tcBorders>
              <w:top w:val="single" w:sz="9" w:color="B42318"/>
              <w:left w:val="single" w:sz="9" w:color="B42318"/>
              <w:bottom w:val="single" w:sz="9" w:color="B42318"/>
              <w:right w:val="single" w:sz="9" w:color="B42318"/>
              <w:insideH w:val="single" w:sz="9" w:color="B42318"/>
              <w:insideV w:val="single" w:sz="9" w:color="B42318"/>
            </w:tcBorders>
            <w:tcMar>
              <w:top w:w="100" w:type="dxa"/>
              <w:start w:w="120" w:type="dxa"/>
              <w:bottom w:w="100" w:type="dxa"/>
              <w:end w:w="120" w:type="dxa"/>
            </w:tcMar>
          </w:tcPr>
          <w:p>
            <w:pPr>
              <w:spacing w:before="0" w:after="60" w:line="240" w:lineRule="auto"/>
            </w:pPr>
            <w:r>
              <w:rPr>
                <w:rFonts w:ascii="Aptos Narrow" w:hAnsi="Aptos Narrow"/>
                <w:b/>
                <w:color w:val="B42318"/>
                <w:sz w:val="18"/>
              </w:rPr>
              <w:t>DATABASE ENFORCEMENT</w:t>
            </w:r>
          </w:p>
          <w:p>
            <w:pPr>
              <w:spacing w:before="0" w:after="40" w:line="240" w:lineRule="auto"/>
            </w:pPr>
            <w:r>
              <w:rPr>
                <w:rFonts w:ascii="Aptos Narrow" w:hAnsi="Aptos Narrow"/>
                <w:b w:val="0"/>
                <w:color w:val="000000"/>
                <w:sz w:val="17"/>
              </w:rPr>
              <w:t>• Unique (tenant, code) and one main Branch per Tenant are enforced by uq_branch_tenant_code and uq_branch_one_main_per_tenant. They are keyed on Tenant rather than School so they survived the Branch model move without a second pass over a live table.</w:t>
            </w:r>
          </w:p>
          <w:p>
            <w:pPr>
              <w:spacing w:before="0" w:after="40" w:line="240" w:lineRule="auto"/>
            </w:pPr>
            <w:r>
              <w:rPr>
                <w:rFonts w:ascii="Aptos Narrow" w:hAnsi="Aptos Narrow"/>
                <w:b w:val="0"/>
                <w:color w:val="000000"/>
                <w:sz w:val="17"/>
              </w:rPr>
              <w:t>• Define deletion retention for BranchLifecycle before adding Branch deletion.</w:t>
            </w:r>
          </w:p>
          <w:p>
            <w:pPr>
              <w:spacing w:before="0" w:after="40" w:line="240" w:lineRule="auto"/>
            </w:pPr>
            <w:r>
              <w:rPr>
                <w:rFonts w:ascii="Aptos Narrow" w:hAnsi="Aptos Narrow"/>
                <w:b w:val="0"/>
                <w:color w:val="000000"/>
                <w:sz w:val="17"/>
              </w:rPr>
              <w:t>• Keep Tenant protection and explicit School lifecycle behavior separate from raw ORM cascade behavior. Branch is protected against Tenant deletion and untouched by School deletion, so neither cascade removes a site.</w:t>
            </w:r>
          </w:p>
          <w:p>
            <w:pPr>
              <w:spacing w:before="0" w:after="40" w:line="240" w:lineRule="auto"/>
            </w:pPr>
            <w:r>
              <w:rPr>
                <w:rFonts w:ascii="Aptos Narrow" w:hAnsi="Aptos Narrow"/>
                <w:b w:val="0"/>
                <w:color w:val="000000"/>
                <w:sz w:val="17"/>
              </w:rPr>
              <w:t>• uq_branch_one_main_per_tenant is a partial unique index and is not deferrable, so a handover has to demote the incumbent in its own statement before promoting the successor. Tenant.slug carries its own unique index, which is why the School update path checks Tenant as well as School before accepting an address.</w:t>
            </w:r>
          </w:p>
        </w:tc>
      </w:tr>
    </w:tbl>
    <w:p>
      <w:r>
        <w:br w:type="page"/>
      </w:r>
    </w:p>
    <w:p>
      <w:pPr>
        <w:pStyle w:val="Heading1"/>
        <w:spacing w:before="300" w:after="160" w:line="240" w:lineRule="auto"/>
        <w:keepNext/>
        <w:pBdr>
          <w:bottom w:val="single" w:sz="14" w:space="5" w:color="355B9D"/>
        </w:pBdr>
      </w:pPr>
      <w:r>
        <w:rPr>
          <w:rFonts w:ascii="Aptos Narrow" w:hAnsi="Aptos Narrow"/>
          <w:b/>
          <w:color w:val="000000"/>
          <w:sz w:val="34"/>
        </w:rPr>
        <w:t>7. API and Validation Contracts</w:t>
      </w:r>
    </w:p>
    <w:p>
      <w:pPr>
        <w:pStyle w:val="Heading2"/>
        <w:spacing w:before="220" w:after="120" w:line="240" w:lineRule="auto"/>
        <w:keepNext/>
        <w:pBdr>
          <w:bottom w:val="single" w:sz="8" w:space="5" w:color="355B9D"/>
        </w:pBdr>
      </w:pPr>
      <w:r>
        <w:rPr>
          <w:rFonts w:ascii="Aptos Narrow" w:hAnsi="Aptos Narrow"/>
          <w:b/>
          <w:color w:val="000000"/>
          <w:sz w:val="27"/>
        </w:rPr>
        <w:t>7.1 School Endpoints</w:t>
      </w:r>
    </w:p>
    <w:tbl>
      <w:tblPr>
        <w:tblW w:type="dxa" w:w="10468"/>
        <w:jc w:val="center"/>
        <w:tblLayout w:type="fixed"/>
        <w:tblLook w:firstColumn="1" w:firstRow="1" w:lastColumn="0" w:lastRow="0" w:noHBand="0" w:noVBand="1" w:val="04A0"/>
      </w:tblPr>
      <w:tblGrid>
        <w:gridCol w:w="936"/>
        <w:gridCol w:w="3240"/>
        <w:gridCol w:w="2376"/>
        <w:gridCol w:w="3916"/>
      </w:tblGrid>
      <w:tr>
        <w:trPr>
          <w:tblHeader w:val="true"/>
        </w:trPr>
        <w:tc>
          <w:tcPr>
            <w:tcW w:type="dxa" w:w="936"/>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Method</w:t>
            </w:r>
          </w:p>
        </w:tc>
        <w:tc>
          <w:tcPr>
            <w:tcW w:type="dxa" w:w="3240"/>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Endpoint</w:t>
            </w:r>
          </w:p>
        </w:tc>
        <w:tc>
          <w:tcPr>
            <w:tcW w:type="dxa" w:w="2376"/>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Permission</w:t>
            </w:r>
          </w:p>
        </w:tc>
        <w:tc>
          <w:tcPr>
            <w:tcW w:type="dxa" w:w="3917"/>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Purpose</w:t>
            </w:r>
          </w:p>
        </w:tc>
      </w:tr>
      <w:tr>
        <w:tc>
          <w:tcPr>
            <w:tcW w:type="dxa" w:w="9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GET</w:t>
            </w:r>
          </w:p>
        </w:tc>
        <w:tc>
          <w:tcPr>
            <w:tcW w:type="dxa" w:w="324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/v1/i/</w:t>
            </w:r>
          </w:p>
        </w:tc>
        <w:tc>
          <w:tcPr>
            <w:tcW w:type="dxa" w:w="237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platform.schools.view</w:t>
            </w:r>
          </w:p>
        </w:tc>
        <w:tc>
          <w:tcPr>
            <w:tcW w:type="dxa" w:w="391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Paginated School list, search, filters, ordering, and stable IDs</w:t>
            </w:r>
          </w:p>
        </w:tc>
      </w:tr>
      <w:tr>
        <w:tc>
          <w:tcPr>
            <w:tcW w:type="dxa" w:w="9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POST</w:t>
            </w:r>
          </w:p>
        </w:tc>
        <w:tc>
          <w:tcPr>
            <w:tcW w:type="dxa" w:w="324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/v1/i/create/</w:t>
            </w:r>
          </w:p>
        </w:tc>
        <w:tc>
          <w:tcPr>
            <w:tcW w:type="dxa" w:w="237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platform.schools.create</w:t>
            </w:r>
          </w:p>
        </w:tc>
        <w:tc>
          <w:tcPr>
            <w:tcW w:type="dxa" w:w="391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Create School, Tenant, and optional onboarding records</w:t>
            </w:r>
          </w:p>
        </w:tc>
      </w:tr>
      <w:tr>
        <w:tc>
          <w:tcPr>
            <w:tcW w:type="dxa" w:w="9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GET</w:t>
            </w:r>
          </w:p>
        </w:tc>
        <w:tc>
          <w:tcPr>
            <w:tcW w:type="dxa" w:w="324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/v1/i/stats/</w:t>
            </w:r>
          </w:p>
        </w:tc>
        <w:tc>
          <w:tcPr>
            <w:tcW w:type="dxa" w:w="237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platform.schools.view</w:t>
            </w:r>
          </w:p>
        </w:tc>
        <w:tc>
          <w:tcPr>
            <w:tcW w:type="dxa" w:w="391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Counts by School status</w:t>
            </w:r>
          </w:p>
        </w:tc>
      </w:tr>
      <w:tr>
        <w:tc>
          <w:tcPr>
            <w:tcW w:type="dxa" w:w="9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GET</w:t>
            </w:r>
          </w:p>
        </w:tc>
        <w:tc>
          <w:tcPr>
            <w:tcW w:type="dxa" w:w="324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/v1/i/package-plans/</w:t>
            </w:r>
          </w:p>
        </w:tc>
        <w:tc>
          <w:tcPr>
            <w:tcW w:type="dxa" w:w="237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IsVisionStaff</w:t>
            </w:r>
          </w:p>
        </w:tc>
        <w:tc>
          <w:tcPr>
            <w:tcW w:type="dxa" w:w="391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Active package catalogue</w:t>
            </w:r>
          </w:p>
        </w:tc>
      </w:tr>
      <w:tr>
        <w:tc>
          <w:tcPr>
            <w:tcW w:type="dxa" w:w="9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GET</w:t>
            </w:r>
          </w:p>
        </w:tc>
        <w:tc>
          <w:tcPr>
            <w:tcW w:type="dxa" w:w="324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/v1/i/modules/</w:t>
            </w:r>
          </w:p>
        </w:tc>
        <w:tc>
          <w:tcPr>
            <w:tcW w:type="dxa" w:w="237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IsVisionStaff</w:t>
            </w:r>
          </w:p>
        </w:tc>
        <w:tc>
          <w:tcPr>
            <w:tcW w:type="dxa" w:w="391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Active capability catalogue and dependencies</w:t>
            </w:r>
          </w:p>
        </w:tc>
      </w:tr>
      <w:tr>
        <w:tc>
          <w:tcPr>
            <w:tcW w:type="dxa" w:w="9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GET</w:t>
            </w:r>
          </w:p>
        </w:tc>
        <w:tc>
          <w:tcPr>
            <w:tcW w:type="dxa" w:w="324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/v1/i/{slug}/</w:t>
            </w:r>
          </w:p>
        </w:tc>
        <w:tc>
          <w:tcPr>
            <w:tcW w:type="dxa" w:w="237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platform.schools.view</w:t>
            </w:r>
          </w:p>
        </w:tc>
        <w:tc>
          <w:tcPr>
            <w:tcW w:type="dxa" w:w="391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School detail and nested records</w:t>
            </w:r>
          </w:p>
        </w:tc>
      </w:tr>
      <w:tr>
        <w:tc>
          <w:tcPr>
            <w:tcW w:type="dxa" w:w="9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PUT/PATCH</w:t>
            </w:r>
          </w:p>
        </w:tc>
        <w:tc>
          <w:tcPr>
            <w:tcW w:type="dxa" w:w="324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/v1/i/{slug}/update/</w:t>
            </w:r>
          </w:p>
        </w:tc>
        <w:tc>
          <w:tcPr>
            <w:tcW w:type="dxa" w:w="237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platform.schools.update</w:t>
            </w:r>
          </w:p>
        </w:tc>
        <w:tc>
          <w:tcPr>
            <w:tcW w:type="dxa" w:w="391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Supported metadata and logo, plus the sign-in address before go-live; 409 TENANT_SLUG_FROZEN once the School has been live</w:t>
            </w:r>
          </w:p>
        </w:tc>
      </w:tr>
      <w:tr>
        <w:tc>
          <w:tcPr>
            <w:tcW w:type="dxa" w:w="9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POST</w:t>
            </w:r>
          </w:p>
        </w:tc>
        <w:tc>
          <w:tcPr>
            <w:tcW w:type="dxa" w:w="324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/v1/i/{slug}/reset-config/</w:t>
            </w:r>
          </w:p>
        </w:tc>
        <w:tc>
          <w:tcPr>
            <w:tcW w:type="dxa" w:w="237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IsVisionSuperAdmin</w:t>
            </w:r>
          </w:p>
        </w:tc>
        <w:tc>
          <w:tcPr>
            <w:tcW w:type="dxa" w:w="391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Current branding-only reset</w:t>
            </w:r>
          </w:p>
        </w:tc>
      </w:tr>
    </w:tbl>
    <w:p>
      <w:pPr>
        <w:pStyle w:val="Heading2"/>
        <w:spacing w:before="220" w:after="120" w:line="240" w:lineRule="auto"/>
        <w:keepNext/>
        <w:pBdr>
          <w:bottom w:val="single" w:sz="8" w:space="5" w:color="355B9D"/>
        </w:pBdr>
      </w:pPr>
      <w:r>
        <w:rPr>
          <w:rFonts w:ascii="Aptos Narrow" w:hAnsi="Aptos Narrow"/>
          <w:b/>
          <w:color w:val="000000"/>
          <w:sz w:val="27"/>
        </w:rPr>
        <w:t>7.2 Branch Endpoints</w:t>
      </w:r>
    </w:p>
    <w:tbl>
      <w:tblPr>
        <w:tblW w:type="dxa" w:w="10468"/>
        <w:jc w:val="center"/>
        <w:tblLayout w:type="fixed"/>
        <w:tblLook w:firstColumn="1" w:firstRow="1" w:lastColumn="0" w:lastRow="0" w:noHBand="0" w:noVBand="1" w:val="04A0"/>
      </w:tblPr>
      <w:tblGrid>
        <w:gridCol w:w="936"/>
        <w:gridCol w:w="3671"/>
        <w:gridCol w:w="2376"/>
        <w:gridCol w:w="3484"/>
      </w:tblGrid>
      <w:tr>
        <w:trPr>
          <w:tblHeader w:val="true"/>
        </w:trPr>
        <w:tc>
          <w:tcPr>
            <w:tcW w:type="dxa" w:w="936"/>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Method</w:t>
            </w:r>
          </w:p>
        </w:tc>
        <w:tc>
          <w:tcPr>
            <w:tcW w:type="dxa" w:w="3672"/>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Endpoint</w:t>
            </w:r>
          </w:p>
        </w:tc>
        <w:tc>
          <w:tcPr>
            <w:tcW w:type="dxa" w:w="2376"/>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Permission</w:t>
            </w:r>
          </w:p>
        </w:tc>
        <w:tc>
          <w:tcPr>
            <w:tcW w:type="dxa" w:w="3485"/>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Purpose</w:t>
            </w:r>
          </w:p>
        </w:tc>
      </w:tr>
      <w:tr>
        <w:tc>
          <w:tcPr>
            <w:tcW w:type="dxa" w:w="9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GET</w:t>
            </w:r>
          </w:p>
        </w:tc>
        <w:tc>
          <w:tcPr>
            <w:tcW w:type="dxa" w:w="367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/v1/i/{slug}/branches/</w:t>
            </w:r>
          </w:p>
        </w:tc>
        <w:tc>
          <w:tcPr>
            <w:tcW w:type="dxa" w:w="237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platform.branches.view</w:t>
            </w:r>
          </w:p>
        </w:tc>
        <w:tc>
          <w:tcPr>
            <w:tcW w:type="dxa" w:w="34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School-scoped Branch list with IDs and filters</w:t>
            </w:r>
          </w:p>
        </w:tc>
      </w:tr>
      <w:tr>
        <w:tc>
          <w:tcPr>
            <w:tcW w:type="dxa" w:w="9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POST</w:t>
            </w:r>
          </w:p>
        </w:tc>
        <w:tc>
          <w:tcPr>
            <w:tcW w:type="dxa" w:w="367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/v1/i/{slug}/branches/create/</w:t>
            </w:r>
          </w:p>
        </w:tc>
        <w:tc>
          <w:tcPr>
            <w:tcW w:type="dxa" w:w="237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platform.branches.create</w:t>
            </w:r>
          </w:p>
        </w:tc>
        <w:tc>
          <w:tcPr>
            <w:tcW w:type="dxa" w:w="34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Create PENDING Branch under ACTIVE School</w:t>
            </w:r>
          </w:p>
        </w:tc>
      </w:tr>
      <w:tr>
        <w:tc>
          <w:tcPr>
            <w:tcW w:type="dxa" w:w="9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GET</w:t>
            </w:r>
          </w:p>
        </w:tc>
        <w:tc>
          <w:tcPr>
            <w:tcW w:type="dxa" w:w="367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/v1/i/{slug}/branches/stats/</w:t>
            </w:r>
          </w:p>
        </w:tc>
        <w:tc>
          <w:tcPr>
            <w:tcW w:type="dxa" w:w="237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platform.branches.view</w:t>
            </w:r>
          </w:p>
        </w:tc>
        <w:tc>
          <w:tcPr>
            <w:tcW w:type="dxa" w:w="34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Counts by Branch status</w:t>
            </w:r>
          </w:p>
        </w:tc>
      </w:tr>
      <w:tr>
        <w:tc>
          <w:tcPr>
            <w:tcW w:type="dxa" w:w="9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GET</w:t>
            </w:r>
          </w:p>
        </w:tc>
        <w:tc>
          <w:tcPr>
            <w:tcW w:type="dxa" w:w="367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/v1/i/{slug}/branches/{code}/detail/</w:t>
            </w:r>
          </w:p>
        </w:tc>
        <w:tc>
          <w:tcPr>
            <w:tcW w:type="dxa" w:w="237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platform.branches.view</w:t>
            </w:r>
          </w:p>
        </w:tc>
        <w:tc>
          <w:tcPr>
            <w:tcW w:type="dxa" w:w="34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Branch detail and primary admin</w:t>
            </w:r>
          </w:p>
        </w:tc>
      </w:tr>
      <w:tr>
        <w:tc>
          <w:tcPr>
            <w:tcW w:type="dxa" w:w="9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PUT/PATCH</w:t>
            </w:r>
          </w:p>
        </w:tc>
        <w:tc>
          <w:tcPr>
            <w:tcW w:type="dxa" w:w="367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/v1/i/{slug}/branches/{code}/update/</w:t>
            </w:r>
          </w:p>
        </w:tc>
        <w:tc>
          <w:tcPr>
            <w:tcW w:type="dxa" w:w="237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platform.branches.update</w:t>
            </w:r>
          </w:p>
        </w:tc>
        <w:tc>
          <w:tcPr>
            <w:tcW w:type="dxa" w:w="34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Update Branch metadata, and hand the main-Branch designation over with is_main</w:t>
            </w:r>
          </w:p>
        </w:tc>
      </w:tr>
      <w:tr>
        <w:tc>
          <w:tcPr>
            <w:tcW w:type="dxa" w:w="9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POST</w:t>
            </w:r>
          </w:p>
        </w:tc>
        <w:tc>
          <w:tcPr>
            <w:tcW w:type="dxa" w:w="367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/v1/i/{slug}/branches/{code}/transition/</w:t>
            </w:r>
          </w:p>
        </w:tc>
        <w:tc>
          <w:tcPr>
            <w:tcW w:type="dxa" w:w="237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IsVisionStaff and platform.branches.manage</w:t>
            </w:r>
          </w:p>
        </w:tc>
        <w:tc>
          <w:tcPr>
            <w:tcW w:type="dxa" w:w="34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Lifecycle transition; 409 on a refused edge, a repeated state, or a main or last Branch being taken out of service</w:t>
            </w:r>
          </w:p>
        </w:tc>
      </w:tr>
    </w:tbl>
    <w:p>
      <w:pPr>
        <w:pStyle w:val="Heading2"/>
        <w:spacing w:before="220" w:after="120" w:line="240" w:lineRule="auto"/>
        <w:keepNext/>
        <w:pBdr>
          <w:bottom w:val="single" w:sz="8" w:space="5" w:color="355B9D"/>
        </w:pBdr>
      </w:pPr>
      <w:r>
        <w:rPr>
          <w:rFonts w:ascii="Aptos Narrow" w:hAnsi="Aptos Narrow"/>
          <w:b/>
          <w:color w:val="000000"/>
          <w:sz w:val="27"/>
        </w:rPr>
        <w:t>7.3 Related Configuration Endpoints</w:t>
      </w:r>
    </w:p>
    <w:tbl>
      <w:tblPr>
        <w:tblW w:type="dxa" w:w="10468"/>
        <w:jc w:val="center"/>
        <w:tblLayout w:type="fixed"/>
        <w:tblLook w:firstColumn="1" w:firstRow="1" w:lastColumn="0" w:lastRow="0" w:noHBand="0" w:noVBand="1" w:val="04A0"/>
      </w:tblPr>
      <w:tblGrid>
        <w:gridCol w:w="3671"/>
        <w:gridCol w:w="6796"/>
      </w:tblGrid>
      <w:tr>
        <w:trPr>
          <w:tblHeader w:val="true"/>
        </w:trPr>
        <w:tc>
          <w:tcPr>
            <w:tcW w:type="dxa" w:w="3672"/>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Endpoint</w:t>
            </w:r>
          </w:p>
        </w:tc>
        <w:tc>
          <w:tcPr>
            <w:tcW w:type="dxa" w:w="6797"/>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Contract</w:t>
            </w:r>
          </w:p>
        </w:tc>
      </w:tr>
      <w:tr>
        <w:tc>
          <w:tcPr>
            <w:tcW w:type="dxa" w:w="367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/v1/config/platform-settings/</w:t>
            </w:r>
          </w:p>
        </w:tc>
        <w:tc>
          <w:tcPr>
            <w:tcW w:type="dxa" w:w="679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Read/update platform identity and School onboarding defaults; explicit values remain caller-owned.</w:t>
            </w:r>
          </w:p>
        </w:tc>
      </w:tr>
      <w:tr>
        <w:tc>
          <w:tcPr>
            <w:tcW w:type="dxa" w:w="367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/v1/config/entitlements/</w:t>
            </w:r>
          </w:p>
        </w:tc>
        <w:tc>
          <w:tcPr>
            <w:tcW w:type="dxa" w:w="679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List or schedule platform/School capability grants.</w:t>
            </w:r>
          </w:p>
        </w:tc>
      </w:tr>
      <w:tr>
        <w:tc>
          <w:tcPr>
            <w:tcW w:type="dxa" w:w="367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/v1/config/entitlements/{capability}/</w:t>
            </w:r>
          </w:p>
        </w:tc>
        <w:tc>
          <w:tcPr>
            <w:tcW w:type="dxa" w:w="679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Remove a scoped grant and reveal inherited entitlement state.</w:t>
            </w:r>
          </w:p>
        </w:tc>
      </w:tr>
      <w:tr>
        <w:tc>
          <w:tcPr>
            <w:tcW w:type="dxa" w:w="367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/v1/config/entitlements/calendar/</w:t>
            </w:r>
          </w:p>
        </w:tc>
        <w:tc>
          <w:tcPr>
            <w:tcW w:type="dxa" w:w="679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Inspect expiry, renewal, and scheduled activation windows.</w:t>
            </w:r>
          </w:p>
        </w:tc>
      </w:tr>
      <w:tr>
        <w:tc>
          <w:tcPr>
            <w:tcW w:type="dxa" w:w="367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/v1/config/entitlements/bulk-schedule/</w:t>
            </w:r>
          </w:p>
        </w:tc>
        <w:tc>
          <w:tcPr>
            <w:tcW w:type="dxa" w:w="679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Atomically schedule up to 100 distinct entitlement targets.</w:t>
            </w:r>
          </w:p>
        </w:tc>
      </w:tr>
      <w:tr>
        <w:tc>
          <w:tcPr>
            <w:tcW w:type="dxa" w:w="367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/v1/config/overrides/</w:t>
            </w:r>
          </w:p>
        </w:tc>
        <w:tc>
          <w:tcPr>
            <w:tcW w:type="dxa" w:w="679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Manage platform, School, or Branch capability overrides.</w:t>
            </w:r>
          </w:p>
        </w:tc>
      </w:tr>
      <w:tr>
        <w:tc>
          <w:tcPr>
            <w:tcW w:type="dxa" w:w="367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/v1/config/effective-capabilities/</w:t>
            </w:r>
          </w:p>
        </w:tc>
        <w:tc>
          <w:tcPr>
            <w:tcW w:type="dxa" w:w="679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Return final capability state after grant, dependency, schedule, and override resolution.</w:t>
            </w:r>
          </w:p>
        </w:tc>
      </w:tr>
    </w:tbl>
    <w:p>
      <w:r>
        <w:br w:type="page"/>
      </w:r>
    </w:p>
    <w:p>
      <w:pPr>
        <w:pStyle w:val="Heading2"/>
        <w:spacing w:before="220" w:after="120" w:line="240" w:lineRule="auto"/>
        <w:keepNext/>
        <w:pBdr>
          <w:bottom w:val="single" w:sz="8" w:space="5" w:color="355B9D"/>
        </w:pBdr>
      </w:pPr>
      <w:r>
        <w:rPr>
          <w:rFonts w:ascii="Aptos Narrow" w:hAnsi="Aptos Narrow"/>
          <w:b/>
          <w:color w:val="000000"/>
          <w:sz w:val="27"/>
        </w:rPr>
        <w:t>7.4 Validation and Response Rules</w:t>
      </w:r>
    </w:p>
    <w:tbl>
      <w:tblPr>
        <w:tblW w:type="dxa" w:w="10468"/>
        <w:jc w:val="center"/>
        <w:tblLayout w:type="fixed"/>
        <w:tblLook w:firstColumn="1" w:firstRow="1" w:lastColumn="0" w:lastRow="0" w:noHBand="0" w:noVBand="1" w:val="04A0"/>
      </w:tblPr>
      <w:tblGrid>
        <w:gridCol w:w="2160"/>
        <w:gridCol w:w="6580"/>
        <w:gridCol w:w="1728"/>
      </w:tblGrid>
      <w:tr>
        <w:trPr>
          <w:tblHeader w:val="true"/>
        </w:trPr>
        <w:tc>
          <w:tcPr>
            <w:tcW w:type="dxa" w:w="2160"/>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Area</w:t>
            </w:r>
          </w:p>
        </w:tc>
        <w:tc>
          <w:tcPr>
            <w:tcW w:type="dxa" w:w="6581"/>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Required / Current rule</w:t>
            </w:r>
          </w:p>
        </w:tc>
        <w:tc>
          <w:tcPr>
            <w:tcW w:type="dxa" w:w="1728"/>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Response</w:t>
            </w:r>
          </w:p>
        </w:tc>
      </w:tr>
      <w:tr>
        <w:tc>
          <w:tcPr>
            <w:tcW w:type="dxa" w:w="216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5"/>
              </w:rPr>
              <w:t>School slug</w:t>
            </w:r>
          </w:p>
        </w:tc>
        <w:tc>
          <w:tcPr>
            <w:tcW w:type="dxa" w:w="65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5"/>
              </w:rPr>
              <w:t>Lowercase URL-safe, unique across Schools and Tenants, not one of the 67 reserved platform hostnames; collision suggestions; editable only while the School has never been live</w:t>
            </w:r>
          </w:p>
        </w:tc>
        <w:tc>
          <w:tcPr>
            <w:tcW w:type="dxa" w:w="172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5"/>
              </w:rPr>
              <w:t>400 on invalid input; 409 TENANT_SLUG_FROZEN once live</w:t>
            </w:r>
          </w:p>
        </w:tc>
      </w:tr>
      <w:tr>
        <w:tc>
          <w:tcPr>
            <w:tcW w:type="dxa" w:w="216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val="clear" w:color="auto"/>
          </w:tcPr>
          <w:p>
            <w:pPr>
              <w:spacing w:before="0" w:after="0" w:line="240" w:lineRule="auto"/>
              <w:jc w:val="left"/>
            </w:pPr>
            <w:r>
              <w:rPr>
                <w:rFonts w:ascii="Aptos Narrow" w:hAnsi="Aptos Narrow"/>
                <w:b w:val="0"/>
                <w:color w:val="000000"/>
                <w:sz w:val="15"/>
              </w:rPr>
              <w:t>School code</w:t>
            </w:r>
          </w:p>
        </w:tc>
        <w:tc>
          <w:tcPr>
            <w:tcW w:type="dxa" w:w="65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val="clear" w:color="auto"/>
          </w:tcPr>
          <w:p>
            <w:pPr>
              <w:spacing w:before="0" w:after="0" w:line="240" w:lineRule="auto"/>
              <w:jc w:val="left"/>
            </w:pPr>
            <w:r>
              <w:rPr>
                <w:rFonts w:ascii="Aptos Narrow" w:hAnsi="Aptos Narrow"/>
                <w:b w:val="0"/>
                <w:color w:val="000000"/>
                <w:sz w:val="15"/>
              </w:rPr>
              <w:t>Unique and allocated when omitted</w:t>
            </w:r>
          </w:p>
        </w:tc>
        <w:tc>
          <w:tcPr>
            <w:tcW w:type="dxa" w:w="172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val="clear" w:color="auto"/>
          </w:tcPr>
          <w:p>
            <w:pPr>
              <w:spacing w:before="0" w:after="0" w:line="240" w:lineRule="auto"/>
              <w:jc w:val="left"/>
            </w:pPr>
            <w:r>
              <w:rPr>
                <w:rFonts w:ascii="Aptos Narrow" w:hAnsi="Aptos Narrow"/>
                <w:b w:val="0"/>
                <w:color w:val="000000"/>
                <w:sz w:val="15"/>
              </w:rPr>
              <w:t>400 or database error on collision</w:t>
            </w:r>
          </w:p>
        </w:tc>
      </w:tr>
      <w:tr>
        <w:tc>
          <w:tcPr>
            <w:tcW w:type="dxa" w:w="216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5"/>
              </w:rPr>
              <w:t>Nested Branches</w:t>
            </w:r>
          </w:p>
        </w:tc>
        <w:tc>
          <w:tcPr>
            <w:tcW w:type="dxa" w:w="65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5"/>
              </w:rPr>
              <w:t>At least one Branch is required and an empty list is refused; exactly one main Branch, with a lone Branch promoted to main; unique names in payload; Branch type is optional on every write path</w:t>
            </w:r>
          </w:p>
        </w:tc>
        <w:tc>
          <w:tcPr>
            <w:tcW w:type="dxa" w:w="172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5"/>
              </w:rPr>
              <w:t>400</w:t>
            </w:r>
          </w:p>
        </w:tc>
      </w:tr>
      <w:tr>
        <w:tc>
          <w:tcPr>
            <w:tcW w:type="dxa" w:w="216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val="clear" w:color="auto"/>
          </w:tcPr>
          <w:p>
            <w:pPr>
              <w:spacing w:before="0" w:after="0" w:line="240" w:lineRule="auto"/>
              <w:jc w:val="left"/>
            </w:pPr>
            <w:r>
              <w:rPr>
                <w:rFonts w:ascii="Aptos Narrow" w:hAnsi="Aptos Narrow"/>
                <w:b w:val="0"/>
                <w:color w:val="000000"/>
                <w:sz w:val="15"/>
              </w:rPr>
              <w:t>Branch target</w:t>
            </w:r>
          </w:p>
        </w:tc>
        <w:tc>
          <w:tcPr>
            <w:tcW w:type="dxa" w:w="65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val="clear" w:color="auto"/>
          </w:tcPr>
          <w:p>
            <w:pPr>
              <w:spacing w:before="0" w:after="0" w:line="240" w:lineRule="auto"/>
              <w:jc w:val="left"/>
            </w:pPr>
            <w:r>
              <w:rPr>
                <w:rFonts w:ascii="Aptos Narrow" w:hAnsi="Aptos Narrow"/>
                <w:b w:val="0"/>
                <w:color w:val="000000"/>
                <w:sz w:val="15"/>
              </w:rPr>
              <w:t>Route School must exist and be ACTIVE for creation</w:t>
            </w:r>
          </w:p>
        </w:tc>
        <w:tc>
          <w:tcPr>
            <w:tcW w:type="dxa" w:w="172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val="clear" w:color="auto"/>
          </w:tcPr>
          <w:p>
            <w:pPr>
              <w:spacing w:before="0" w:after="0" w:line="240" w:lineRule="auto"/>
              <w:jc w:val="left"/>
            </w:pPr>
            <w:r>
              <w:rPr>
                <w:rFonts w:ascii="Aptos Narrow" w:hAnsi="Aptos Narrow"/>
                <w:b w:val="0"/>
                <w:color w:val="000000"/>
                <w:sz w:val="15"/>
              </w:rPr>
              <w:t>404 or 400</w:t>
            </w:r>
          </w:p>
        </w:tc>
      </w:tr>
      <w:tr>
        <w:tc>
          <w:tcPr>
            <w:tcW w:type="dxa" w:w="216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5"/>
              </w:rPr>
              <w:t>Admin email</w:t>
            </w:r>
          </w:p>
        </w:tc>
        <w:tc>
          <w:tcPr>
            <w:tcW w:type="dxa" w:w="65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5"/>
              </w:rPr>
              <w:t>Must not already belong to a User except the deliberate nested School-admin reuse path</w:t>
            </w:r>
          </w:p>
        </w:tc>
        <w:tc>
          <w:tcPr>
            <w:tcW w:type="dxa" w:w="172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5"/>
              </w:rPr>
              <w:t>400</w:t>
            </w:r>
          </w:p>
        </w:tc>
      </w:tr>
      <w:tr>
        <w:tc>
          <w:tcPr>
            <w:tcW w:type="dxa" w:w="216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val="clear" w:color="auto"/>
          </w:tcPr>
          <w:p>
            <w:pPr>
              <w:spacing w:before="0" w:after="0" w:line="240" w:lineRule="auto"/>
              <w:jc w:val="left"/>
            </w:pPr>
            <w:r>
              <w:rPr>
                <w:rFonts w:ascii="Aptos Narrow" w:hAnsi="Aptos Narrow"/>
                <w:b w:val="0"/>
                <w:color w:val="000000"/>
                <w:sz w:val="15"/>
              </w:rPr>
              <w:t>Package capacity</w:t>
            </w:r>
          </w:p>
        </w:tc>
        <w:tc>
          <w:tcPr>
            <w:tcW w:type="dxa" w:w="65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val="clear" w:color="auto"/>
          </w:tcPr>
          <w:p>
            <w:pPr>
              <w:spacing w:before="0" w:after="0" w:line="240" w:lineRule="auto"/>
              <w:jc w:val="left"/>
            </w:pPr>
            <w:r>
              <w:rPr>
                <w:rFonts w:ascii="Aptos Narrow" w:hAnsi="Aptos Narrow"/>
                <w:b w:val="0"/>
                <w:color w:val="000000"/>
                <w:sz w:val="15"/>
              </w:rPr>
              <w:t>At least 1 and no more than plan maximum</w:t>
            </w:r>
          </w:p>
        </w:tc>
        <w:tc>
          <w:tcPr>
            <w:tcW w:type="dxa" w:w="172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val="clear" w:color="auto"/>
          </w:tcPr>
          <w:p>
            <w:pPr>
              <w:spacing w:before="0" w:after="0" w:line="240" w:lineRule="auto"/>
              <w:jc w:val="left"/>
            </w:pPr>
            <w:r>
              <w:rPr>
                <w:rFonts w:ascii="Aptos Narrow" w:hAnsi="Aptos Narrow"/>
                <w:b w:val="0"/>
                <w:color w:val="000000"/>
                <w:sz w:val="15"/>
              </w:rPr>
              <w:t>400</w:t>
            </w:r>
          </w:p>
        </w:tc>
      </w:tr>
      <w:tr>
        <w:tc>
          <w:tcPr>
            <w:tcW w:type="dxa" w:w="216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5"/>
              </w:rPr>
              <w:t>Subscription expiry</w:t>
            </w:r>
          </w:p>
        </w:tc>
        <w:tc>
          <w:tcPr>
            <w:tcW w:type="dxa" w:w="65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5"/>
              </w:rPr>
              <w:t>Cannot be in the past</w:t>
            </w:r>
          </w:p>
        </w:tc>
        <w:tc>
          <w:tcPr>
            <w:tcW w:type="dxa" w:w="172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5"/>
              </w:rPr>
              <w:t>400</w:t>
            </w:r>
          </w:p>
        </w:tc>
      </w:tr>
      <w:tr>
        <w:tc>
          <w:tcPr>
            <w:tcW w:type="dxa" w:w="216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val="clear" w:color="auto"/>
          </w:tcPr>
          <w:p>
            <w:pPr>
              <w:spacing w:before="0" w:after="0" w:line="240" w:lineRule="auto"/>
              <w:jc w:val="left"/>
            </w:pPr>
            <w:r>
              <w:rPr>
                <w:rFonts w:ascii="Aptos Narrow" w:hAnsi="Aptos Narrow"/>
                <w:b w:val="0"/>
                <w:color w:val="000000"/>
                <w:sz w:val="15"/>
              </w:rPr>
              <w:t>No-op update</w:t>
            </w:r>
          </w:p>
        </w:tc>
        <w:tc>
          <w:tcPr>
            <w:tcW w:type="dxa" w:w="65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val="clear" w:color="auto"/>
          </w:tcPr>
          <w:p>
            <w:pPr>
              <w:spacing w:before="0" w:after="0" w:line="240" w:lineRule="auto"/>
              <w:jc w:val="left"/>
            </w:pPr>
            <w:r>
              <w:rPr>
                <w:rFonts w:ascii="Aptos Narrow" w:hAnsi="Aptos Narrow"/>
                <w:b w:val="0"/>
                <w:color w:val="000000"/>
                <w:sz w:val="15"/>
              </w:rPr>
              <w:t>At least one direct School or Branch field must change</w:t>
            </w:r>
          </w:p>
        </w:tc>
        <w:tc>
          <w:tcPr>
            <w:tcW w:type="dxa" w:w="172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val="clear" w:color="auto"/>
          </w:tcPr>
          <w:p>
            <w:pPr>
              <w:spacing w:before="0" w:after="0" w:line="240" w:lineRule="auto"/>
              <w:jc w:val="left"/>
            </w:pPr>
            <w:r>
              <w:rPr>
                <w:rFonts w:ascii="Aptos Narrow" w:hAnsi="Aptos Narrow"/>
                <w:b w:val="0"/>
                <w:color w:val="000000"/>
                <w:sz w:val="15"/>
              </w:rPr>
              <w:t>400</w:t>
            </w:r>
          </w:p>
        </w:tc>
      </w:tr>
      <w:tr>
        <w:tc>
          <w:tcPr>
            <w:tcW w:type="dxa" w:w="216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5"/>
              </w:rPr>
              <w:t>Main Branch retirement</w:t>
            </w:r>
          </w:p>
        </w:tc>
        <w:tc>
          <w:tcPr>
            <w:tcW w:type="dxa" w:w="65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5"/>
              </w:rPr>
              <w:t>A Branch carrying is_main may not move to SUSPENDED, INACTIVE or CLOSED, and neither may a School's only Branch</w:t>
            </w:r>
          </w:p>
        </w:tc>
        <w:tc>
          <w:tcPr>
            <w:tcW w:type="dxa" w:w="172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5"/>
              </w:rPr>
              <w:t>409 MAIN_BRANCH_CANNOT_LEAVE_SERVICE or LAST_BRANCH_CANNOT_LEAVE_SERVICE</w:t>
            </w:r>
          </w:p>
        </w:tc>
      </w:tr>
      <w:tr>
        <w:tc>
          <w:tcPr>
            <w:tcW w:type="dxa" w:w="216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val="clear" w:color="auto"/>
          </w:tcPr>
          <w:p>
            <w:pPr>
              <w:spacing w:before="0" w:after="0" w:line="240" w:lineRule="auto"/>
              <w:jc w:val="left"/>
            </w:pPr>
            <w:r>
              <w:rPr>
                <w:rFonts w:ascii="Aptos Narrow" w:hAnsi="Aptos Narrow"/>
                <w:b w:val="0"/>
                <w:color w:val="000000"/>
                <w:sz w:val="15"/>
              </w:rPr>
              <w:t>Main-Branch designation</w:t>
            </w:r>
          </w:p>
        </w:tc>
        <w:tc>
          <w:tcPr>
            <w:tcW w:type="dxa" w:w="65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val="clear" w:color="auto"/>
          </w:tcPr>
          <w:p>
            <w:pPr>
              <w:spacing w:before="0" w:after="0" w:line="240" w:lineRule="auto"/>
              <w:jc w:val="left"/>
            </w:pPr>
            <w:r>
              <w:rPr>
                <w:rFonts w:ascii="Aptos Narrow" w:hAnsi="Aptos Narrow"/>
                <w:b w:val="0"/>
                <w:color w:val="000000"/>
                <w:sz w:val="15"/>
              </w:rPr>
              <w:t>is_main=true promotes and demotes the incumbent; is_main=false on the sole main Branch is refused; an out-of-service Branch cannot be promoted</w:t>
            </w:r>
          </w:p>
        </w:tc>
        <w:tc>
          <w:tcPr>
            <w:tcW w:type="dxa" w:w="172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val="clear" w:color="auto"/>
          </w:tcPr>
          <w:p>
            <w:pPr>
              <w:spacing w:before="0" w:after="0" w:line="240" w:lineRule="auto"/>
              <w:jc w:val="left"/>
            </w:pPr>
            <w:r>
              <w:rPr>
                <w:rFonts w:ascii="Aptos Narrow" w:hAnsi="Aptos Narrow"/>
                <w:b w:val="0"/>
                <w:color w:val="000000"/>
                <w:sz w:val="15"/>
              </w:rPr>
              <w:t>400 at the endpoint; 409 BRANCH_NOT_IN_SERVICE from the model path</w:t>
            </w:r>
          </w:p>
        </w:tc>
      </w:tr>
      <w:tr>
        <w:tc>
          <w:tcPr>
            <w:tcW w:type="dxa" w:w="216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5"/>
              </w:rPr>
              <w:t>Model validation failure</w:t>
            </w:r>
          </w:p>
        </w:tc>
        <w:tc>
          <w:tcPr>
            <w:tcW w:type="dxa" w:w="65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5"/>
              </w:rPr>
              <w:t>A model-level refusal must name the field it failed on; core.exceptions now renders message_dict and keys non-field errors under __all__</w:t>
            </w:r>
          </w:p>
        </w:tc>
        <w:tc>
          <w:tcPr>
            <w:tcW w:type="dxa" w:w="172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5"/>
              </w:rPr>
              <w:t>400 with the field key; error.detail is an object rather than a list</w:t>
            </w:r>
          </w:p>
        </w:tc>
      </w:tr>
      <w:tr>
        <w:tc>
          <w:tcPr>
            <w:tcW w:type="dxa" w:w="216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val="clear" w:color="auto"/>
          </w:tcPr>
          <w:p>
            <w:pPr>
              <w:spacing w:before="0" w:after="0" w:line="240" w:lineRule="auto"/>
              <w:jc w:val="left"/>
            </w:pPr>
            <w:r>
              <w:rPr>
                <w:rFonts w:ascii="Aptos Narrow" w:hAnsi="Aptos Narrow"/>
                <w:b w:val="0"/>
                <w:color w:val="000000"/>
                <w:sz w:val="15"/>
              </w:rPr>
              <w:t>Cross-School target</w:t>
            </w:r>
          </w:p>
        </w:tc>
        <w:tc>
          <w:tcPr>
            <w:tcW w:type="dxa" w:w="65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val="clear" w:color="auto"/>
          </w:tcPr>
          <w:p>
            <w:pPr>
              <w:spacing w:before="0" w:after="0" w:line="240" w:lineRule="auto"/>
              <w:jc w:val="left"/>
            </w:pPr>
            <w:r>
              <w:rPr>
                <w:rFonts w:ascii="Aptos Narrow" w:hAnsi="Aptos Narrow"/>
                <w:b w:val="0"/>
                <w:color w:val="000000"/>
                <w:sz w:val="15"/>
              </w:rPr>
              <w:t>Tenant and route scope must hide foreign records</w:t>
            </w:r>
          </w:p>
        </w:tc>
        <w:tc>
          <w:tcPr>
            <w:tcW w:type="dxa" w:w="172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val="clear" w:color="auto"/>
          </w:tcPr>
          <w:p>
            <w:pPr>
              <w:spacing w:before="0" w:after="0" w:line="240" w:lineRule="auto"/>
              <w:jc w:val="left"/>
            </w:pPr>
            <w:r>
              <w:rPr>
                <w:rFonts w:ascii="Aptos Narrow" w:hAnsi="Aptos Narrow"/>
                <w:b w:val="0"/>
                <w:color w:val="000000"/>
                <w:sz w:val="15"/>
              </w:rPr>
              <w:t>404 or empty result</w:t>
            </w:r>
          </w:p>
        </w:tc>
      </w:tr>
      <w:tr>
        <w:tc>
          <w:tcPr>
            <w:tcW w:type="dxa" w:w="216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5"/>
              </w:rPr>
              <w:t>Unexpected School detail failure</w:t>
            </w:r>
          </w:p>
        </w:tc>
        <w:tc>
          <w:tcPr>
            <w:tcW w:type="dxa" w:w="65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5"/>
              </w:rPr>
              <w:t>Must log server-side and return a generic response</w:t>
            </w:r>
          </w:p>
        </w:tc>
        <w:tc>
          <w:tcPr>
            <w:tcW w:type="dxa" w:w="172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5"/>
              </w:rPr>
              <w:t>Current code leaks debug details</w:t>
            </w:r>
          </w:p>
        </w:tc>
      </w:tr>
    </w:tbl>
    <w:p>
      <w:pPr>
        <w:pStyle w:val="Heading1"/>
        <w:spacing w:before="300" w:after="160" w:line="240" w:lineRule="auto"/>
        <w:keepNext/>
        <w:pBdr>
          <w:bottom w:val="single" w:sz="14" w:space="5" w:color="355B9D"/>
        </w:pBdr>
      </w:pPr>
      <w:r>
        <w:rPr>
          <w:rFonts w:ascii="Aptos Narrow" w:hAnsi="Aptos Narrow"/>
          <w:b/>
          <w:color w:val="000000"/>
          <w:sz w:val="34"/>
        </w:rPr>
        <w:t>8. Dependencies and Operational Evidence</w:t>
      </w:r>
    </w:p>
    <w:tbl>
      <w:tblPr>
        <w:tblW w:type="dxa" w:w="10468"/>
        <w:jc w:val="center"/>
        <w:tblLayout w:type="fixed"/>
        <w:tblLook w:firstColumn="1" w:firstRow="1" w:lastColumn="0" w:lastRow="0" w:noHBand="0" w:noVBand="1" w:val="04A0"/>
      </w:tblPr>
      <w:tblGrid>
        <w:gridCol w:w="2304"/>
        <w:gridCol w:w="2448"/>
        <w:gridCol w:w="5716"/>
      </w:tblGrid>
      <w:tr>
        <w:trPr>
          <w:tblHeader w:val="true"/>
        </w:trPr>
        <w:tc>
          <w:tcPr>
            <w:tcW w:type="dxa" w:w="2304"/>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Dependency</w:t>
            </w:r>
          </w:p>
        </w:tc>
        <w:tc>
          <w:tcPr>
            <w:tcW w:type="dxa" w:w="2448"/>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Direction</w:t>
            </w:r>
          </w:p>
        </w:tc>
        <w:tc>
          <w:tcPr>
            <w:tcW w:type="dxa" w:w="5717"/>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Module 1 contract</w:t>
            </w:r>
          </w:p>
        </w:tc>
      </w:tr>
      <w:tr>
        <w:tc>
          <w:tcPr>
            <w:tcW w:type="dxa" w:w="230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vs_tenants</w:t>
            </w:r>
          </w:p>
        </w:tc>
        <w:tc>
          <w:tcPr>
            <w:tcW w:type="dxa" w:w="244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Required write and scope</w:t>
            </w:r>
          </w:p>
        </w:tc>
        <w:tc>
          <w:tcPr>
            <w:tcW w:type="dxa" w:w="571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Create one Tenant per School; provide ambient tenant context and SC document numbering.</w:t>
            </w:r>
          </w:p>
        </w:tc>
      </w:tr>
      <w:tr>
        <w:tc>
          <w:tcPr>
            <w:tcW w:type="dxa" w:w="230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vs_rbac</w:t>
            </w:r>
          </w:p>
        </w:tc>
        <w:tc>
          <w:tcPr>
            <w:tcW w:type="dxa" w:w="244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Authorization and provisioning</w:t>
            </w:r>
          </w:p>
        </w:tc>
        <w:tc>
          <w:tcPr>
            <w:tcW w:type="dxa" w:w="571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Evaluate platform permissions; provision School/Branch admin roles and Branch assignments.</w:t>
            </w:r>
          </w:p>
        </w:tc>
      </w:tr>
      <w:tr>
        <w:tc>
          <w:tcPr>
            <w:tcW w:type="dxa" w:w="230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vs_user</w:t>
            </w:r>
          </w:p>
        </w:tc>
        <w:tc>
          <w:tcPr>
            <w:tcW w:type="dxa" w:w="244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Outbound write and async delivery</w:t>
            </w:r>
          </w:p>
        </w:tc>
        <w:tc>
          <w:tcPr>
            <w:tcW w:type="dxa" w:w="571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Create pending users and invitations; send activation email.</w:t>
            </w:r>
          </w:p>
        </w:tc>
      </w:tr>
      <w:tr>
        <w:tc>
          <w:tcPr>
            <w:tcW w:type="dxa" w:w="230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vs_config</w:t>
            </w:r>
          </w:p>
        </w:tc>
        <w:tc>
          <w:tcPr>
            <w:tcW w:type="dxa" w:w="244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Bidirectional</w:t>
            </w:r>
          </w:p>
        </w:tc>
        <w:tc>
          <w:tcPr>
            <w:tcW w:type="dxa" w:w="571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Supply onboarding defaults, entitlements, dependencies, schedules, overrides, and audit evidence.</w:t>
            </w:r>
          </w:p>
        </w:tc>
      </w:tr>
      <w:tr>
        <w:tc>
          <w:tcPr>
            <w:tcW w:type="dxa" w:w="230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vs_audit</w:t>
            </w:r>
          </w:p>
        </w:tc>
        <w:tc>
          <w:tcPr>
            <w:tcW w:type="dxa" w:w="244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Outbound evidence</w:t>
            </w:r>
          </w:p>
        </w:tc>
        <w:tc>
          <w:tcPr>
            <w:tcW w:type="dxa" w:w="571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Store actor, target, outcome, before state, and differences for material actions.</w:t>
            </w:r>
          </w:p>
        </w:tc>
      </w:tr>
      <w:tr>
        <w:tc>
          <w:tcPr>
            <w:tcW w:type="dxa" w:w="230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vs_import_data</w:t>
            </w:r>
          </w:p>
        </w:tc>
        <w:tc>
          <w:tcPr>
            <w:tcW w:type="dxa" w:w="244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Inbound reuse</w:t>
            </w:r>
          </w:p>
        </w:tc>
        <w:tc>
          <w:tcPr>
            <w:tcW w:type="dxa" w:w="571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Reuse School/Branch validation and creation behavior and provide batch rollback.</w:t>
            </w:r>
          </w:p>
        </w:tc>
      </w:tr>
      <w:tr>
        <w:tc>
          <w:tcPr>
            <w:tcW w:type="dxa" w:w="230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vs_admin_console</w:t>
            </w:r>
          </w:p>
        </w:tc>
        <w:tc>
          <w:tcPr>
            <w:tcW w:type="dxa" w:w="244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Read consumer</w:t>
            </w:r>
          </w:p>
        </w:tc>
        <w:tc>
          <w:tcPr>
            <w:tcW w:type="dxa" w:w="571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Consume School counts/details and expose controlled operator navigation.</w:t>
            </w:r>
          </w:p>
        </w:tc>
      </w:tr>
      <w:tr>
        <w:tc>
          <w:tcPr>
            <w:tcW w:type="dxa" w:w="230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Tenant-aware domain apps</w:t>
            </w:r>
          </w:p>
        </w:tc>
        <w:tc>
          <w:tcPr>
            <w:tcW w:type="dxa" w:w="244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Ownership contract</w:t>
            </w:r>
          </w:p>
        </w:tc>
        <w:tc>
          <w:tcPr>
            <w:tcW w:type="dxa" w:w="571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Resolve through Tenant and Branch, never through School: the engines do not import the schools app, so the hop is branch.tenant and never branch.school.tenant. No cross-Tenant leakage.</w:t>
            </w:r>
          </w:p>
        </w:tc>
      </w:tr>
      <w:tr>
        <w:tc>
          <w:tcPr>
            <w:tcW w:type="dxa" w:w="230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Database-backed media</w:t>
            </w:r>
          </w:p>
        </w:tc>
        <w:tc>
          <w:tcPr>
            <w:tcW w:type="dxa" w:w="244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Storage contract</w:t>
            </w:r>
          </w:p>
        </w:tc>
        <w:tc>
          <w:tcPr>
            <w:tcW w:type="dxa" w:w="571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Store School logos and serve them through authenticated media routes.</w:t>
            </w:r>
          </w:p>
        </w:tc>
      </w:tr>
    </w:tbl>
    <w:p>
      <w:pPr>
        <w:pStyle w:val="Heading2"/>
        <w:spacing w:before="220" w:after="120" w:line="240" w:lineRule="auto"/>
        <w:keepNext/>
        <w:pBdr>
          <w:bottom w:val="single" w:sz="8" w:space="5" w:color="355B9D"/>
        </w:pBdr>
      </w:pPr>
      <w:r>
        <w:rPr>
          <w:rFonts w:ascii="Aptos Narrow" w:hAnsi="Aptos Narrow"/>
          <w:b/>
          <w:color w:val="000000"/>
          <w:sz w:val="27"/>
        </w:rPr>
        <w:t>8.1 Minimum Verification</w:t>
      </w:r>
    </w:p>
    <w:p>
      <w:pPr>
        <w:spacing w:before="0" w:after="40" w:line="240" w:lineRule="auto"/>
        <w:ind w:left="288" w:hanging="202"/>
      </w:pPr>
      <w:r>
        <w:rPr>
          <w:rFonts w:ascii="Aptos Narrow" w:hAnsi="Aptos Narrow"/>
          <w:b w:val="0"/>
          <w:color w:val="000000"/>
          <w:sz w:val="18"/>
        </w:rPr>
        <w:t>• Permission denied and cross-Tenant isolation for every endpoint, with Branch scope resolved through the Tenant rather than through the School.</w:t>
      </w:r>
    </w:p>
    <w:p>
      <w:pPr>
        <w:spacing w:before="0" w:after="40" w:line="240" w:lineRule="auto"/>
        <w:ind w:left="288" w:hanging="202"/>
      </w:pPr>
      <w:r>
        <w:rPr>
          <w:rFonts w:ascii="Aptos Narrow" w:hAnsi="Aptos Narrow"/>
          <w:b w:val="0"/>
          <w:color w:val="000000"/>
          <w:sz w:val="18"/>
        </w:rPr>
        <w:t>• School creation happy path, nested rollback, admin provisioning failure, and explicit-vs-default onboarding values.</w:t>
      </w:r>
    </w:p>
    <w:p>
      <w:pPr>
        <w:spacing w:before="0" w:after="40" w:line="240" w:lineRule="auto"/>
        <w:ind w:left="288" w:hanging="202"/>
      </w:pPr>
      <w:r>
        <w:rPr>
          <w:rFonts w:ascii="Aptos Narrow" w:hAnsi="Aptos Narrow"/>
          <w:b w:val="0"/>
          <w:color w:val="000000"/>
          <w:sz w:val="18"/>
        </w:rPr>
        <w:t>• Concurrent Branch code allocation, and database constraint coverage written past the model guard: ten tests in vs_tenants insert through bulk_create so it is the database, not Branch.save(), that refuses the row.</w:t>
      </w:r>
    </w:p>
    <w:p>
      <w:pPr>
        <w:spacing w:before="0" w:after="40" w:line="240" w:lineRule="auto"/>
        <w:ind w:left="288" w:hanging="202"/>
      </w:pPr>
      <w:r>
        <w:rPr>
          <w:rFonts w:ascii="Aptos Narrow" w:hAnsi="Aptos Narrow"/>
          <w:b w:val="0"/>
          <w:color w:val="000000"/>
          <w:sz w:val="18"/>
        </w:rPr>
        <w:t>• Every allowed and rejected School/Branch lifecycle transition with session and access effects, and proof that deleting a School leaves its Tenant's Branches standing.</w:t>
      </w:r>
    </w:p>
    <w:p>
      <w:pPr>
        <w:spacing w:before="0" w:after="40" w:line="240" w:lineRule="auto"/>
        <w:ind w:left="288" w:hanging="202"/>
      </w:pPr>
      <w:r>
        <w:rPr>
          <w:rFonts w:ascii="Aptos Narrow" w:hAnsi="Aptos Narrow"/>
          <w:b w:val="0"/>
          <w:color w:val="000000"/>
          <w:sz w:val="18"/>
        </w:rPr>
        <w:t>• Reserved and frozen sign-in addresses refused at creation, on update and at the model, with a pre-go-live correction proved to reach the Tenant and a once-live School proved still frozen while suspended.</w:t>
      </w:r>
    </w:p>
    <w:p>
      <w:pPr>
        <w:spacing w:before="0" w:after="40" w:line="240" w:lineRule="auto"/>
        <w:ind w:left="288" w:hanging="202"/>
      </w:pPr>
      <w:r>
        <w:rPr>
          <w:rFonts w:ascii="Aptos Narrow" w:hAnsi="Aptos Narrow"/>
          <w:b w:val="0"/>
          <w:color w:val="000000"/>
          <w:sz w:val="18"/>
        </w:rPr>
        <w:t>• Every out-of-service target refused for a main Branch and for a School's only Branch, promote-then-retire proved as the sequence the refusal describes, and promotion proved not to trip the partial unique index or to reach a Branch in another Tenant.</w:t>
      </w:r>
    </w:p>
    <w:p>
      <w:pPr>
        <w:spacing w:before="0" w:after="40" w:line="240" w:lineRule="auto"/>
        <w:ind w:left="288" w:hanging="202"/>
      </w:pPr>
      <w:r>
        <w:rPr>
          <w:rFonts w:ascii="Aptos Narrow" w:hAnsi="Aptos Narrow"/>
          <w:b w:val="0"/>
          <w:color w:val="000000"/>
          <w:sz w:val="18"/>
        </w:rPr>
        <w:t>• School update, Branch update, reset, lifecycle, and delete audit evidence.</w:t>
      </w:r>
    </w:p>
    <w:p>
      <w:pPr>
        <w:spacing w:before="0" w:after="40" w:line="240" w:lineRule="auto"/>
        <w:ind w:left="288" w:hanging="202"/>
      </w:pPr>
      <w:r>
        <w:rPr>
          <w:rFonts w:ascii="Aptos Narrow" w:hAnsi="Aptos Narrow"/>
          <w:b w:val="0"/>
          <w:color w:val="000000"/>
          <w:sz w:val="18"/>
        </w:rPr>
        <w:t>• Capability dependency, schedule, override precedence, reset, and expiry behavior.</w:t>
      </w:r>
    </w:p>
    <w:p>
      <w:pPr>
        <w:spacing w:before="0" w:after="40" w:line="240" w:lineRule="auto"/>
        <w:ind w:left="288" w:hanging="202"/>
      </w:pPr>
      <w:r>
        <w:rPr>
          <w:rFonts w:ascii="Aptos Narrow" w:hAnsi="Aptos Narrow"/>
          <w:b w:val="0"/>
          <w:color w:val="000000"/>
          <w:sz w:val="18"/>
        </w:rPr>
        <w:t>• Generic production error responses without exception class, message, traceback, secrets, or PII.</w:t>
      </w:r>
    </w:p>
    <w:p>
      <w:pPr>
        <w:spacing w:before="0" w:after="40" w:line="240" w:lineRule="auto"/>
        <w:ind w:left="288" w:hanging="202"/>
      </w:pPr>
      <w:r>
        <w:rPr>
          <w:rFonts w:ascii="Aptos Narrow" w:hAnsi="Aptos Narrow"/>
          <w:b w:val="0"/>
          <w:color w:val="000000"/>
          <w:sz w:val="18"/>
        </w:rPr>
        <w:t>• Empty-list response shape through the shared success-response and paginator layers.</w:t>
      </w:r>
    </w:p>
    <w:p>
      <w:r>
        <w:br w:type="page"/>
      </w:r>
    </w:p>
    <w:p>
      <w:pPr>
        <w:pStyle w:val="Heading1"/>
        <w:spacing w:before="300" w:after="160" w:line="240" w:lineRule="auto"/>
        <w:keepNext/>
        <w:pBdr>
          <w:bottom w:val="single" w:sz="14" w:space="5" w:color="355B9D"/>
        </w:pBdr>
      </w:pPr>
      <w:r>
        <w:rPr>
          <w:rFonts w:ascii="Aptos Narrow" w:hAnsi="Aptos Narrow"/>
          <w:b/>
          <w:color w:val="000000"/>
          <w:sz w:val="34"/>
        </w:rPr>
        <w:t>9. Needs Attention</w:t>
      </w:r>
    </w:p>
    <w:tbl>
      <w:tblPr>
        <w:tblW w:type="dxa" w:w="10468"/>
        <w:jc w:val="center"/>
        <w:tblLayout w:type="fixed"/>
        <w:tblLook w:firstColumn="1" w:firstRow="1" w:lastColumn="0" w:lastRow="0" w:noHBand="0" w:noVBand="1" w:val="04A0"/>
      </w:tblPr>
      <w:tblGrid>
        <w:gridCol w:w="1007"/>
        <w:gridCol w:w="2376"/>
        <w:gridCol w:w="5903"/>
        <w:gridCol w:w="1180"/>
      </w:tblGrid>
      <w:tr>
        <w:trPr>
          <w:tblHeader w:val="true"/>
        </w:trPr>
        <w:tc>
          <w:tcPr>
            <w:tcW w:type="dxa" w:w="1008"/>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Priority</w:t>
            </w:r>
          </w:p>
        </w:tc>
        <w:tc>
          <w:tcPr>
            <w:tcW w:type="dxa" w:w="2376"/>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Current gap</w:t>
            </w:r>
          </w:p>
        </w:tc>
        <w:tc>
          <w:tcPr>
            <w:tcW w:type="dxa" w:w="5904"/>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Required completion</w:t>
            </w:r>
          </w:p>
        </w:tc>
        <w:tc>
          <w:tcPr>
            <w:tcW w:type="dxa" w:w="1181"/>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FR</w:t>
            </w:r>
          </w:p>
        </w:tc>
      </w:tr>
      <w:tr>
        <w:tc>
          <w:tcPr>
            <w:tcW w:type="dxa" w:w="100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P0</w:t>
            </w:r>
          </w:p>
        </w:tc>
        <w:tc>
          <w:tcPr>
            <w:tcW w:type="dxa" w:w="237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School lifecycle controls</w:t>
            </w:r>
          </w:p>
        </w:tc>
        <w:tc>
          <w:tcPr>
            <w:tcW w:type="dxa" w:w="590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Add operator activation, suspension, reactivation, recoverable soft deletion, guarded hard deletion, access effects, and audit evidence. Onboarding expiry and manual reinstatement now cover the onboarding case only.</w:t>
            </w:r>
          </w:p>
        </w:tc>
        <w:tc>
          <w:tcPr>
            <w:tcW w:type="dxa" w:w="11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FR-015, FR-019</w:t>
            </w:r>
          </w:p>
        </w:tc>
      </w:tr>
      <w:tr>
        <w:tc>
          <w:tcPr>
            <w:tcW w:type="dxa" w:w="100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P0</w:t>
            </w:r>
          </w:p>
        </w:tc>
        <w:tc>
          <w:tcPr>
            <w:tcW w:type="dxa" w:w="237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Unsafe School detail errors</w:t>
            </w:r>
          </w:p>
        </w:tc>
        <w:tc>
          <w:tcPr>
            <w:tcW w:type="dxa" w:w="590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Return generic production responses and keep traceback data in server logs only.</w:t>
            </w:r>
          </w:p>
        </w:tc>
        <w:tc>
          <w:tcPr>
            <w:tcW w:type="dxa" w:w="11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FR-008</w:t>
            </w:r>
          </w:p>
        </w:tc>
      </w:tr>
      <w:tr>
        <w:tc>
          <w:tcPr>
            <w:tcW w:type="dxa" w:w="100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P1</w:t>
            </w:r>
          </w:p>
        </w:tc>
        <w:tc>
          <w:tcPr>
            <w:tcW w:type="dxa" w:w="237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A School's display name cannot be corrected</w:t>
            </w:r>
          </w:p>
        </w:tc>
        <w:tc>
          <w:tcPr>
            <w:tcW w:type="dxa" w:w="590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The update endpoint now exposes the sign-in address but still not the name, deliberately: the spreadsheet importer resolves a School by name when a row carries no slug, so renaming a School would make its own import file stop matching and the importer would create a second School, with its own Tenant and Branch, instead of skipping a duplicate. Settle the importer's identity rule, then open the field.</w:t>
            </w:r>
          </w:p>
        </w:tc>
        <w:tc>
          <w:tcPr>
            <w:tcW w:type="dxa" w:w="11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FR-002, FR-009, FR-021</w:t>
            </w:r>
          </w:p>
        </w:tc>
      </w:tr>
      <w:tr>
        <w:tc>
          <w:tcPr>
            <w:tcW w:type="dxa" w:w="100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P1</w:t>
            </w:r>
          </w:p>
        </w:tc>
        <w:tc>
          <w:tcPr>
            <w:tcW w:type="dxa" w:w="237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School update and reset audit</w:t>
            </w:r>
          </w:p>
        </w:tc>
        <w:tc>
          <w:tcPr>
            <w:tcW w:type="dxa" w:w="590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Emit before/after evidence and allow valid branding-only updates. The School update path now also moves the sign-in address, which is written with no platform audit event at all.</w:t>
            </w:r>
          </w:p>
        </w:tc>
        <w:tc>
          <w:tcPr>
            <w:tcW w:type="dxa" w:w="11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FR-009, FR-013, FR-014</w:t>
            </w:r>
          </w:p>
        </w:tc>
      </w:tr>
      <w:tr>
        <w:tc>
          <w:tcPr>
            <w:tcW w:type="dxa" w:w="100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P1</w:t>
            </w:r>
          </w:p>
        </w:tc>
        <w:tc>
          <w:tcPr>
            <w:tcW w:type="dxa" w:w="237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Admin provisioning reconciliation</w:t>
            </w:r>
          </w:p>
        </w:tc>
        <w:tc>
          <w:tcPr>
            <w:tcW w:type="dxa" w:w="590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Expose queued/failed invitations, retry action, and operator visibility.</w:t>
            </w:r>
          </w:p>
        </w:tc>
        <w:tc>
          <w:tcPr>
            <w:tcW w:type="dxa" w:w="11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FR-004, FR-006</w:t>
            </w:r>
          </w:p>
        </w:tc>
      </w:tr>
      <w:tr>
        <w:tc>
          <w:tcPr>
            <w:tcW w:type="dxa" w:w="100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P1</w:t>
            </w:r>
          </w:p>
        </w:tc>
        <w:tc>
          <w:tcPr>
            <w:tcW w:type="dxa" w:w="237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Reset semantics</w:t>
            </w:r>
          </w:p>
        </w:tc>
        <w:tc>
          <w:tcPr>
            <w:tcW w:type="dxa" w:w="590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Declare reset scope, bind confirmation to School, and restore inherited state safely.</w:t>
            </w:r>
          </w:p>
        </w:tc>
        <w:tc>
          <w:tcPr>
            <w:tcW w:type="dxa" w:w="11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FR-014</w:t>
            </w:r>
          </w:p>
        </w:tc>
      </w:tr>
      <w:tr>
        <w:tc>
          <w:tcPr>
            <w:tcW w:type="dxa" w:w="100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P1</w:t>
            </w:r>
          </w:p>
        </w:tc>
        <w:tc>
          <w:tcPr>
            <w:tcW w:type="dxa" w:w="237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Branch delete and closed access</w:t>
            </w:r>
          </w:p>
        </w:tc>
        <w:tc>
          <w:tcPr>
            <w:tcW w:type="dxa" w:w="590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Define retention, dependency checks, transfer rules, read/write restrictions, and safe deletion. CLOSED is now terminal, so its effect on dependent records must be stated.</w:t>
            </w:r>
          </w:p>
        </w:tc>
        <w:tc>
          <w:tcPr>
            <w:tcW w:type="dxa" w:w="11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FR-011, FR-016</w:t>
            </w:r>
          </w:p>
        </w:tc>
      </w:tr>
      <w:tr>
        <w:tc>
          <w:tcPr>
            <w:tcW w:type="dxa" w:w="100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P2</w:t>
            </w:r>
          </w:p>
        </w:tc>
        <w:tc>
          <w:tcPr>
            <w:tcW w:type="dxa" w:w="237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Package Branch capacity</w:t>
            </w:r>
          </w:p>
        </w:tc>
        <w:tc>
          <w:tcPr>
            <w:tcW w:type="dxa" w:w="590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Enforce max_branch or remove it from the active product contract.</w:t>
            </w:r>
          </w:p>
        </w:tc>
        <w:tc>
          <w:tcPr>
            <w:tcW w:type="dxa" w:w="11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FR-007</w:t>
            </w:r>
          </w:p>
        </w:tc>
      </w:tr>
      <w:tr>
        <w:tc>
          <w:tcPr>
            <w:tcW w:type="dxa" w:w="100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P2</w:t>
            </w:r>
          </w:p>
        </w:tc>
        <w:tc>
          <w:tcPr>
            <w:tcW w:type="dxa" w:w="237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Books provisioning has no operator surface</w:t>
            </w:r>
          </w:p>
        </w:tc>
        <w:tc>
          <w:tcPr>
            <w:tcW w:type="dxa" w:w="590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A School whose books failed at creation is repaired by a management command. Expose the condition, or alert on it, rather than relying on the log and the onboarding step that stays open.</w:t>
            </w:r>
          </w:p>
        </w:tc>
        <w:tc>
          <w:tcPr>
            <w:tcW w:type="dxa" w:w="11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FR-017</w:t>
            </w:r>
          </w:p>
        </w:tc>
      </w:tr>
    </w:tbl>
    <w:tbl>
      <w:tblPr>
        <w:tblW w:type="dxa" w:w="10468"/>
        <w:jc w:val="center"/>
        <w:tblLayout w:type="fixed"/>
        <w:tblLook w:firstColumn="1" w:firstRow="1" w:lastColumn="0" w:lastRow="0" w:noHBand="0" w:noVBand="1" w:val="04A0"/>
      </w:tblPr>
      <w:tblGrid>
        <w:gridCol w:w="10468"/>
      </w:tblGrid>
      <w:tr>
        <w:tc>
          <w:tcPr>
            <w:tcW w:type="dxa" w:w="10469"/>
            <w:shd w:fill="FFF3D6"/>
            <w:tcBorders>
              <w:top w:val="single" w:sz="9" w:color="A86800"/>
              <w:left w:val="single" w:sz="9" w:color="A86800"/>
              <w:bottom w:val="single" w:sz="9" w:color="A86800"/>
              <w:right w:val="single" w:sz="9" w:color="A86800"/>
              <w:insideH w:val="single" w:sz="9" w:color="A86800"/>
              <w:insideV w:val="single" w:sz="9" w:color="A86800"/>
            </w:tcBorders>
            <w:tcMar>
              <w:top w:w="100" w:type="dxa"/>
              <w:start w:w="120" w:type="dxa"/>
              <w:bottom w:w="100" w:type="dxa"/>
              <w:end w:w="120" w:type="dxa"/>
            </w:tcMar>
          </w:tcPr>
          <w:p>
            <w:pPr>
              <w:spacing w:before="0" w:after="60" w:line="240" w:lineRule="auto"/>
            </w:pPr>
            <w:r>
              <w:rPr>
                <w:rFonts w:ascii="Aptos Narrow" w:hAnsi="Aptos Narrow"/>
                <w:b/>
                <w:color w:val="A86800"/>
                <w:sz w:val="18"/>
              </w:rPr>
              <w:t>REMOVAL RULE</w:t>
            </w:r>
          </w:p>
          <w:p>
            <w:pPr>
              <w:spacing w:before="0" w:after="40" w:line="240" w:lineRule="auto"/>
            </w:pPr>
            <w:r>
              <w:rPr>
                <w:rFonts w:ascii="Aptos Narrow" w:hAnsi="Aptos Narrow"/>
                <w:b w:val="0"/>
                <w:color w:val="000000"/>
                <w:sz w:val="17"/>
              </w:rPr>
              <w:t>• An item leaves Needs Attention only when implementation and relevant verification resolve it fully.</w:t>
            </w:r>
          </w:p>
          <w:p>
            <w:pPr>
              <w:spacing w:before="0" w:after="40" w:line="240" w:lineRule="auto"/>
            </w:pPr>
            <w:r>
              <w:rPr>
                <w:rFonts w:ascii="Aptos Narrow" w:hAnsi="Aptos Narrow"/>
                <w:b w:val="0"/>
                <w:color w:val="000000"/>
                <w:sz w:val="17"/>
              </w:rPr>
              <w:t>• Partly resolved items must be rewritten to describe the remaining risk rather than deleted.</w:t>
            </w:r>
          </w:p>
          <w:p>
            <w:pPr>
              <w:spacing w:before="0" w:after="40" w:line="240" w:lineRule="auto"/>
            </w:pPr>
            <w:r>
              <w:rPr>
                <w:rFonts w:ascii="Aptos Narrow" w:hAnsi="Aptos Narrow"/>
                <w:b w:val="0"/>
                <w:color w:val="000000"/>
                <w:sz w:val="17"/>
              </w:rPr>
              <w:t>• Optional ideas and speculative features do not belong here.</w:t>
            </w:r>
          </w:p>
        </w:tc>
      </w:tr>
    </w:tbl>
    <w:p>
      <w:r>
        <w:br w:type="page"/>
      </w:r>
    </w:p>
    <w:p>
      <w:pPr>
        <w:pStyle w:val="Heading1"/>
        <w:spacing w:before="300" w:after="160" w:line="240" w:lineRule="auto"/>
        <w:keepNext/>
        <w:pBdr>
          <w:bottom w:val="single" w:sz="14" w:space="5" w:color="355B9D"/>
        </w:pBdr>
      </w:pPr>
      <w:r>
        <w:rPr>
          <w:rFonts w:ascii="Aptos Narrow" w:hAnsi="Aptos Narrow"/>
          <w:b/>
          <w:color w:val="000000"/>
          <w:sz w:val="34"/>
        </w:rPr>
        <w:t>10. MRD Traceability</w:t>
      </w:r>
    </w:p>
    <w:p>
      <w:pPr>
        <w:spacing w:before="0" w:after="100" w:line="240" w:lineRule="auto"/>
        <w:jc w:val="left"/>
      </w:pPr>
      <w:r>
        <w:rPr>
          <w:rFonts w:ascii="Aptos Narrow" w:hAnsi="Aptos Narrow"/>
          <w:b w:val="0"/>
          <w:color w:val="000000"/>
          <w:sz w:val="18"/>
        </w:rPr>
        <w:t>This table reconciles every Module 1 capability entry in MRD v2.18 to the controlling functional requirement in this FRD. The last two rows have no MRD entry yet: MRD v2.18 was issued before this version's work and does not describe them.</w:t>
      </w:r>
    </w:p>
    <w:tbl>
      <w:tblPr>
        <w:tblW w:type="dxa" w:w="10468"/>
        <w:jc w:val="center"/>
        <w:tblLayout w:type="fixed"/>
        <w:tblLook w:firstColumn="1" w:firstRow="1" w:lastColumn="0" w:lastRow="0" w:noHBand="0" w:noVBand="1" w:val="04A0"/>
      </w:tblPr>
      <w:tblGrid>
        <w:gridCol w:w="4536"/>
        <w:gridCol w:w="2520"/>
        <w:gridCol w:w="3412"/>
      </w:tblGrid>
      <w:tr>
        <w:trPr>
          <w:tblHeader w:val="true"/>
        </w:trPr>
        <w:tc>
          <w:tcPr>
            <w:tcW w:type="dxa" w:w="4536"/>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MRD Module 1 capability</w:t>
            </w:r>
          </w:p>
        </w:tc>
        <w:tc>
          <w:tcPr>
            <w:tcW w:type="dxa" w:w="2520"/>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FRD coverage</w:t>
            </w:r>
          </w:p>
        </w:tc>
        <w:tc>
          <w:tcPr>
            <w:tcW w:type="dxa" w:w="3413"/>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Current state</w:t>
            </w:r>
          </w:p>
        </w:tc>
      </w:tr>
      <w:tr>
        <w:tc>
          <w:tcPr>
            <w:tcW w:type="dxa" w:w="45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6"/>
              </w:rPr>
              <w:t>Create, list, retrieve, and update Schools</w:t>
            </w:r>
          </w:p>
        </w:tc>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6"/>
              </w:rPr>
              <w:t>FR-001, FR-008, FR-009</w:t>
            </w:r>
          </w:p>
        </w:tc>
        <w:tc>
          <w:tcPr>
            <w:tcW w:type="dxa" w:w="341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6"/>
              </w:rPr>
              <w:t>Implemented with update limits</w:t>
            </w:r>
          </w:p>
        </w:tc>
      </w:tr>
      <w:tr>
        <w:tc>
          <w:tcPr>
            <w:tcW w:type="dxa" w:w="45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val="clear" w:color="auto"/>
          </w:tcPr>
          <w:p>
            <w:pPr>
              <w:spacing w:before="0" w:after="0" w:line="240" w:lineRule="auto"/>
              <w:jc w:val="left"/>
            </w:pPr>
            <w:r>
              <w:rPr>
                <w:rFonts w:ascii="Aptos Narrow" w:hAnsi="Aptos Narrow"/>
                <w:b w:val="0"/>
                <w:color w:val="000000"/>
                <w:sz w:val="16"/>
              </w:rPr>
              <w:t>Unique School slug and code allocation</w:t>
            </w:r>
          </w:p>
        </w:tc>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val="clear" w:color="auto"/>
          </w:tcPr>
          <w:p>
            <w:pPr>
              <w:spacing w:before="0" w:after="0" w:line="240" w:lineRule="auto"/>
              <w:jc w:val="left"/>
            </w:pPr>
            <w:r>
              <w:rPr>
                <w:rFonts w:ascii="Aptos Narrow" w:hAnsi="Aptos Narrow"/>
                <w:b w:val="0"/>
                <w:color w:val="000000"/>
                <w:sz w:val="16"/>
              </w:rPr>
              <w:t>FR-002, FR-021</w:t>
            </w:r>
          </w:p>
        </w:tc>
        <w:tc>
          <w:tcPr>
            <w:tcW w:type="dxa" w:w="341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val="clear" w:color="auto"/>
          </w:tcPr>
          <w:p>
            <w:pPr>
              <w:spacing w:before="0" w:after="0" w:line="240" w:lineRule="auto"/>
              <w:jc w:val="left"/>
            </w:pPr>
            <w:r>
              <w:rPr>
                <w:rFonts w:ascii="Aptos Narrow" w:hAnsi="Aptos Narrow"/>
                <w:b w:val="0"/>
                <w:color w:val="000000"/>
                <w:sz w:val="16"/>
              </w:rPr>
              <w:t>Implemented; the address is correctable before go-live and frozen after, while School names remain neither unique nor editable</w:t>
            </w:r>
          </w:p>
        </w:tc>
      </w:tr>
      <w:tr>
        <w:tc>
          <w:tcPr>
            <w:tcW w:type="dxa" w:w="45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6"/>
              </w:rPr>
              <w:t>School status, contact, location, and timezone data</w:t>
            </w:r>
          </w:p>
        </w:tc>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6"/>
              </w:rPr>
              <w:t>FR-001, FR-009, FR-015, FR-019</w:t>
            </w:r>
          </w:p>
        </w:tc>
        <w:tc>
          <w:tcPr>
            <w:tcW w:type="dxa" w:w="341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6"/>
              </w:rPr>
              <w:t>Partial; no School timezone field, and lifecycle covers onboarding only</w:t>
            </w:r>
          </w:p>
        </w:tc>
      </w:tr>
      <w:tr>
        <w:tc>
          <w:tcPr>
            <w:tcW w:type="dxa" w:w="45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val="clear" w:color="auto"/>
          </w:tcPr>
          <w:p>
            <w:pPr>
              <w:spacing w:before="0" w:after="0" w:line="240" w:lineRule="auto"/>
              <w:jc w:val="left"/>
            </w:pPr>
            <w:r>
              <w:rPr>
                <w:rFonts w:ascii="Aptos Narrow" w:hAnsi="Aptos Narrow"/>
                <w:b w:val="0"/>
                <w:color w:val="000000"/>
                <w:sz w:val="16"/>
              </w:rPr>
              <w:t>School branding and logo record</w:t>
            </w:r>
          </w:p>
        </w:tc>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val="clear" w:color="auto"/>
          </w:tcPr>
          <w:p>
            <w:pPr>
              <w:spacing w:before="0" w:after="0" w:line="240" w:lineRule="auto"/>
              <w:jc w:val="left"/>
            </w:pPr>
            <w:r>
              <w:rPr>
                <w:rFonts w:ascii="Aptos Narrow" w:hAnsi="Aptos Narrow"/>
                <w:b w:val="0"/>
                <w:color w:val="000000"/>
                <w:sz w:val="16"/>
              </w:rPr>
              <w:t>FR-009</w:t>
            </w:r>
          </w:p>
        </w:tc>
        <w:tc>
          <w:tcPr>
            <w:tcW w:type="dxa" w:w="341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val="clear" w:color="auto"/>
          </w:tcPr>
          <w:p>
            <w:pPr>
              <w:spacing w:before="0" w:after="0" w:line="240" w:lineRule="auto"/>
              <w:jc w:val="left"/>
            </w:pPr>
            <w:r>
              <w:rPr>
                <w:rFonts w:ascii="Aptos Narrow" w:hAnsi="Aptos Narrow"/>
                <w:b w:val="0"/>
                <w:color w:val="000000"/>
                <w:sz w:val="16"/>
              </w:rPr>
              <w:t>Partial; logo only and branding-only update defect</w:t>
            </w:r>
          </w:p>
        </w:tc>
      </w:tr>
      <w:tr>
        <w:tc>
          <w:tcPr>
            <w:tcW w:type="dxa" w:w="45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6"/>
              </w:rPr>
              <w:t>Package plan and enabled-module setup</w:t>
            </w:r>
          </w:p>
        </w:tc>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6"/>
              </w:rPr>
              <w:t>FR-007</w:t>
            </w:r>
          </w:p>
        </w:tc>
        <w:tc>
          <w:tcPr>
            <w:tcW w:type="dxa" w:w="341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6"/>
              </w:rPr>
              <w:t>Implemented with max_branch limit</w:t>
            </w:r>
          </w:p>
        </w:tc>
      </w:tr>
      <w:tr>
        <w:tc>
          <w:tcPr>
            <w:tcW w:type="dxa" w:w="45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val="clear" w:color="auto"/>
          </w:tcPr>
          <w:p>
            <w:pPr>
              <w:spacing w:before="0" w:after="0" w:line="240" w:lineRule="auto"/>
              <w:jc w:val="left"/>
            </w:pPr>
            <w:r>
              <w:rPr>
                <w:rFonts w:ascii="Aptos Narrow" w:hAnsi="Aptos Narrow"/>
                <w:b w:val="0"/>
                <w:color w:val="000000"/>
                <w:sz w:val="16"/>
              </w:rPr>
              <w:t>Create first School and Branch administrators</w:t>
            </w:r>
          </w:p>
        </w:tc>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val="clear" w:color="auto"/>
          </w:tcPr>
          <w:p>
            <w:pPr>
              <w:spacing w:before="0" w:after="0" w:line="240" w:lineRule="auto"/>
              <w:jc w:val="left"/>
            </w:pPr>
            <w:r>
              <w:rPr>
                <w:rFonts w:ascii="Aptos Narrow" w:hAnsi="Aptos Narrow"/>
                <w:b w:val="0"/>
                <w:color w:val="000000"/>
                <w:sz w:val="16"/>
              </w:rPr>
              <w:t>FR-004, FR-006</w:t>
            </w:r>
          </w:p>
        </w:tc>
        <w:tc>
          <w:tcPr>
            <w:tcW w:type="dxa" w:w="341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val="clear" w:color="auto"/>
          </w:tcPr>
          <w:p>
            <w:pPr>
              <w:spacing w:before="0" w:after="0" w:line="240" w:lineRule="auto"/>
              <w:jc w:val="left"/>
            </w:pPr>
            <w:r>
              <w:rPr>
                <w:rFonts w:ascii="Aptos Narrow" w:hAnsi="Aptos Narrow"/>
                <w:b w:val="0"/>
                <w:color w:val="000000"/>
                <w:sz w:val="16"/>
              </w:rPr>
              <w:t>Implemented with reconciliation gap</w:t>
            </w:r>
          </w:p>
        </w:tc>
      </w:tr>
      <w:tr>
        <w:tc>
          <w:tcPr>
            <w:tcW w:type="dxa" w:w="45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6"/>
              </w:rPr>
              <w:t>Create, list, retrieve, and update Branches</w:t>
            </w:r>
          </w:p>
        </w:tc>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6"/>
              </w:rPr>
              <w:t>FR-005, FR-010</w:t>
            </w:r>
          </w:p>
        </w:tc>
        <w:tc>
          <w:tcPr>
            <w:tcW w:type="dxa" w:w="341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6"/>
              </w:rPr>
              <w:t>Implemented</w:t>
            </w:r>
          </w:p>
        </w:tc>
      </w:tr>
      <w:tr>
        <w:tc>
          <w:tcPr>
            <w:tcW w:type="dxa" w:w="45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val="clear" w:color="auto"/>
          </w:tcPr>
          <w:p>
            <w:pPr>
              <w:spacing w:before="0" w:after="0" w:line="240" w:lineRule="auto"/>
              <w:jc w:val="left"/>
            </w:pPr>
            <w:r>
              <w:rPr>
                <w:rFonts w:ascii="Aptos Narrow" w:hAnsi="Aptos Narrow"/>
                <w:b w:val="0"/>
                <w:color w:val="000000"/>
                <w:sz w:val="16"/>
              </w:rPr>
              <w:t>Per-School Branch code allocation with locking</w:t>
            </w:r>
          </w:p>
        </w:tc>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val="clear" w:color="auto"/>
          </w:tcPr>
          <w:p>
            <w:pPr>
              <w:spacing w:before="0" w:after="0" w:line="240" w:lineRule="auto"/>
              <w:jc w:val="left"/>
            </w:pPr>
            <w:r>
              <w:rPr>
                <w:rFonts w:ascii="Aptos Narrow" w:hAnsi="Aptos Narrow"/>
                <w:b w:val="0"/>
                <w:color w:val="000000"/>
                <w:sz w:val="16"/>
              </w:rPr>
              <w:t>FR-005</w:t>
            </w:r>
          </w:p>
        </w:tc>
        <w:tc>
          <w:tcPr>
            <w:tcW w:type="dxa" w:w="341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val="clear" w:color="auto"/>
          </w:tcPr>
          <w:p>
            <w:pPr>
              <w:spacing w:before="0" w:after="0" w:line="240" w:lineRule="auto"/>
              <w:jc w:val="left"/>
            </w:pPr>
            <w:r>
              <w:rPr>
                <w:rFonts w:ascii="Aptos Narrow" w:hAnsi="Aptos Narrow"/>
                <w:b w:val="0"/>
                <w:color w:val="000000"/>
                <w:sz w:val="16"/>
              </w:rPr>
              <w:t>Implemented; unique per Tenant at the database, with allocation locking the Tenant row</w:t>
            </w:r>
          </w:p>
        </w:tc>
      </w:tr>
      <w:tr>
        <w:tc>
          <w:tcPr>
            <w:tcW w:type="dxa" w:w="45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6"/>
              </w:rPr>
              <w:t>Main-Branch designation and Branch statistics</w:t>
            </w:r>
          </w:p>
        </w:tc>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6"/>
              </w:rPr>
              <w:t>FR-005, FR-010, FR-020</w:t>
            </w:r>
          </w:p>
        </w:tc>
        <w:tc>
          <w:tcPr>
            <w:tcW w:type="dxa" w:w="341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6"/>
              </w:rPr>
              <w:t>Implemented; one main Branch per Tenant enforced at the database, the designation now hands over, and its holder cannot be taken out of service</w:t>
            </w:r>
          </w:p>
        </w:tc>
      </w:tr>
      <w:tr>
        <w:tc>
          <w:tcPr>
            <w:tcW w:type="dxa" w:w="45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val="clear" w:color="auto"/>
          </w:tcPr>
          <w:p>
            <w:pPr>
              <w:spacing w:before="0" w:after="0" w:line="240" w:lineRule="auto"/>
              <w:jc w:val="left"/>
            </w:pPr>
            <w:r>
              <w:rPr>
                <w:rFonts w:ascii="Aptos Narrow" w:hAnsi="Aptos Narrow"/>
                <w:b w:val="0"/>
                <w:color w:val="000000"/>
                <w:sz w:val="16"/>
              </w:rPr>
              <w:t>Branch status transitions and lifecycle history</w:t>
            </w:r>
          </w:p>
        </w:tc>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val="clear" w:color="auto"/>
          </w:tcPr>
          <w:p>
            <w:pPr>
              <w:spacing w:before="0" w:after="0" w:line="240" w:lineRule="auto"/>
              <w:jc w:val="left"/>
            </w:pPr>
            <w:r>
              <w:rPr>
                <w:rFonts w:ascii="Aptos Narrow" w:hAnsi="Aptos Narrow"/>
                <w:b w:val="0"/>
                <w:color w:val="000000"/>
                <w:sz w:val="16"/>
              </w:rPr>
              <w:t>FR-011, FR-020</w:t>
            </w:r>
          </w:p>
        </w:tc>
        <w:tc>
          <w:tcPr>
            <w:tcW w:type="dxa" w:w="341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val="clear" w:color="auto"/>
          </w:tcPr>
          <w:p>
            <w:pPr>
              <w:spacing w:before="0" w:after="0" w:line="240" w:lineRule="auto"/>
              <w:jc w:val="left"/>
            </w:pPr>
            <w:r>
              <w:rPr>
                <w:rFonts w:ascii="Aptos Narrow" w:hAnsi="Aptos Narrow"/>
                <w:b w:val="0"/>
                <w:color w:val="000000"/>
                <w:sz w:val="16"/>
              </w:rPr>
              <w:t>Implemented with closed-Branch access limits; the main-Branch closure dead end is closed</w:t>
            </w:r>
          </w:p>
        </w:tc>
      </w:tr>
      <w:tr>
        <w:tc>
          <w:tcPr>
            <w:tcW w:type="dxa" w:w="45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6"/>
              </w:rPr>
              <w:t>Tenant-aware School and Branch query scoping</w:t>
            </w:r>
          </w:p>
        </w:tc>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6"/>
              </w:rPr>
              <w:t>FR-012</w:t>
            </w:r>
          </w:p>
        </w:tc>
        <w:tc>
          <w:tcPr>
            <w:tcW w:type="dxa" w:w="341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6"/>
              </w:rPr>
              <w:t>Partial at Branch-bound authorization layer</w:t>
            </w:r>
          </w:p>
        </w:tc>
      </w:tr>
      <w:tr>
        <w:tc>
          <w:tcPr>
            <w:tcW w:type="dxa" w:w="45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val="clear" w:color="auto"/>
          </w:tcPr>
          <w:p>
            <w:pPr>
              <w:spacing w:before="0" w:after="0" w:line="240" w:lineRule="auto"/>
              <w:jc w:val="left"/>
            </w:pPr>
            <w:r>
              <w:rPr>
                <w:rFonts w:ascii="Aptos Narrow" w:hAnsi="Aptos Narrow"/>
                <w:b w:val="0"/>
                <w:color w:val="000000"/>
                <w:sz w:val="16"/>
              </w:rPr>
              <w:t>Reset School-owned configuration to platform defaults</w:t>
            </w:r>
          </w:p>
        </w:tc>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val="clear" w:color="auto"/>
          </w:tcPr>
          <w:p>
            <w:pPr>
              <w:spacing w:before="0" w:after="0" w:line="240" w:lineRule="auto"/>
              <w:jc w:val="left"/>
            </w:pPr>
            <w:r>
              <w:rPr>
                <w:rFonts w:ascii="Aptos Narrow" w:hAnsi="Aptos Narrow"/>
                <w:b w:val="0"/>
                <w:color w:val="000000"/>
                <w:sz w:val="16"/>
              </w:rPr>
              <w:t>FR-014</w:t>
            </w:r>
          </w:p>
        </w:tc>
        <w:tc>
          <w:tcPr>
            <w:tcW w:type="dxa" w:w="341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val="clear" w:color="auto"/>
          </w:tcPr>
          <w:p>
            <w:pPr>
              <w:spacing w:before="0" w:after="0" w:line="240" w:lineRule="auto"/>
              <w:jc w:val="left"/>
            </w:pPr>
            <w:r>
              <w:rPr>
                <w:rFonts w:ascii="Aptos Narrow" w:hAnsi="Aptos Narrow"/>
                <w:b w:val="0"/>
                <w:color w:val="000000"/>
                <w:sz w:val="16"/>
              </w:rPr>
              <w:t>Partial; branding-only</w:t>
            </w:r>
          </w:p>
        </w:tc>
      </w:tr>
      <w:tr>
        <w:tc>
          <w:tcPr>
            <w:tcW w:type="dxa" w:w="45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6"/>
              </w:rPr>
              <w:t>School set of books provisioned at creation</w:t>
            </w:r>
          </w:p>
        </w:tc>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6"/>
              </w:rPr>
              <w:t>FR-017</w:t>
            </w:r>
          </w:p>
        </w:tc>
        <w:tc>
          <w:tcPr>
            <w:tcW w:type="dxa" w:w="341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6"/>
              </w:rPr>
              <w:t>Implemented; best effort, repaired by command</w:t>
            </w:r>
          </w:p>
        </w:tc>
      </w:tr>
      <w:tr>
        <w:tc>
          <w:tcPr>
            <w:tcW w:type="dxa" w:w="45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val="clear" w:color="auto"/>
          </w:tcPr>
          <w:p>
            <w:pPr>
              <w:spacing w:before="0" w:after="0" w:line="240" w:lineRule="auto"/>
              <w:jc w:val="left"/>
            </w:pPr>
            <w:r>
              <w:rPr>
                <w:rFonts w:ascii="Aptos Narrow" w:hAnsi="Aptos Narrow"/>
                <w:b w:val="0"/>
                <w:color w:val="000000"/>
                <w:sz w:val="16"/>
              </w:rPr>
              <w:t>Mandatory main branch at school creation</w:t>
            </w:r>
          </w:p>
        </w:tc>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val="clear" w:color="auto"/>
          </w:tcPr>
          <w:p>
            <w:pPr>
              <w:spacing w:before="0" w:after="0" w:line="240" w:lineRule="auto"/>
              <w:jc w:val="left"/>
            </w:pPr>
            <w:r>
              <w:rPr>
                <w:rFonts w:ascii="Aptos Narrow" w:hAnsi="Aptos Narrow"/>
                <w:b w:val="0"/>
                <w:color w:val="000000"/>
                <w:sz w:val="16"/>
              </w:rPr>
              <w:t>FR-018</w:t>
            </w:r>
          </w:p>
        </w:tc>
        <w:tc>
          <w:tcPr>
            <w:tcW w:type="dxa" w:w="341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val="clear" w:color="auto"/>
          </w:tcPr>
          <w:p>
            <w:pPr>
              <w:spacing w:before="0" w:after="0" w:line="240" w:lineRule="auto"/>
              <w:jc w:val="left"/>
            </w:pPr>
            <w:r>
              <w:rPr>
                <w:rFonts w:ascii="Aptos Narrow" w:hAnsi="Aptos Narrow"/>
                <w:b w:val="0"/>
                <w:color w:val="000000"/>
                <w:sz w:val="16"/>
              </w:rPr>
              <w:t>Implemented; the single main Branch is a database constraint, while the at-least-one-Branch rule is held by the creation serializer</w:t>
            </w:r>
          </w:p>
        </w:tc>
      </w:tr>
      <w:tr>
        <w:tc>
          <w:tcPr>
            <w:tcW w:type="dxa" w:w="45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6"/>
              </w:rPr>
              <w:t>Not yet an MRD entry: main-Branch handover and service guarantee</w:t>
            </w:r>
          </w:p>
        </w:tc>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6"/>
              </w:rPr>
              <w:t>FR-020</w:t>
            </w:r>
          </w:p>
        </w:tc>
        <w:tc>
          <w:tcPr>
            <w:tcW w:type="dxa" w:w="341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6"/>
              </w:rPr>
              <w:t>Implemented; MRD v2.18 lists main-Branch designation only and predates both the handover and the refusal to retire the holder</w:t>
            </w:r>
          </w:p>
        </w:tc>
      </w:tr>
      <w:tr>
        <w:tc>
          <w:tcPr>
            <w:tcW w:type="dxa" w:w="45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val="clear" w:color="auto"/>
          </w:tcPr>
          <w:p>
            <w:pPr>
              <w:spacing w:before="0" w:after="0" w:line="240" w:lineRule="auto"/>
              <w:jc w:val="left"/>
            </w:pPr>
            <w:r>
              <w:rPr>
                <w:rFonts w:ascii="Aptos Narrow" w:hAnsi="Aptos Narrow"/>
                <w:b w:val="0"/>
                <w:color w:val="000000"/>
                <w:sz w:val="16"/>
              </w:rPr>
              <w:t>Not yet an MRD entry: School sign-in address governance</w:t>
            </w:r>
          </w:p>
        </w:tc>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val="clear" w:color="auto"/>
          </w:tcPr>
          <w:p>
            <w:pPr>
              <w:spacing w:before="0" w:after="0" w:line="240" w:lineRule="auto"/>
              <w:jc w:val="left"/>
            </w:pPr>
            <w:r>
              <w:rPr>
                <w:rFonts w:ascii="Aptos Narrow" w:hAnsi="Aptos Narrow"/>
                <w:b w:val="0"/>
                <w:color w:val="000000"/>
                <w:sz w:val="16"/>
              </w:rPr>
              <w:t>FR-021</w:t>
            </w:r>
          </w:p>
        </w:tc>
        <w:tc>
          <w:tcPr>
            <w:tcW w:type="dxa" w:w="341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val="clear" w:color="auto"/>
          </w:tcPr>
          <w:p>
            <w:pPr>
              <w:spacing w:before="0" w:after="0" w:line="240" w:lineRule="auto"/>
              <w:jc w:val="left"/>
            </w:pPr>
            <w:r>
              <w:rPr>
                <w:rFonts w:ascii="Aptos Narrow" w:hAnsi="Aptos Narrow"/>
                <w:b w:val="0"/>
                <w:color w:val="000000"/>
                <w:sz w:val="16"/>
              </w:rPr>
              <w:t>Implemented; MRD v2.18 has no entry for reserved platform hostnames or the go-live address freeze</w:t>
            </w:r>
          </w:p>
        </w:tc>
      </w:tr>
    </w:tbl>
    <w:p>
      <w:r>
        <w:br w:type="page"/>
      </w:r>
    </w:p>
    <w:p>
      <w:pPr>
        <w:pStyle w:val="Heading1"/>
        <w:spacing w:before="300" w:after="160" w:line="240" w:lineRule="auto"/>
        <w:keepNext/>
        <w:pBdr>
          <w:bottom w:val="single" w:sz="14" w:space="5" w:color="355B9D"/>
        </w:pBdr>
      </w:pPr>
      <w:r>
        <w:rPr>
          <w:rFonts w:ascii="Aptos Narrow" w:hAnsi="Aptos Narrow"/>
          <w:b/>
          <w:color w:val="000000"/>
          <w:sz w:val="34"/>
        </w:rPr>
        <w:t>11. Change Log</w:t>
      </w:r>
    </w:p>
    <w:tbl>
      <w:tblPr>
        <w:tblW w:type="dxa" w:w="10468"/>
        <w:jc w:val="center"/>
        <w:tblLayout w:type="fixed"/>
        <w:tblLook w:firstColumn="1" w:firstRow="1" w:lastColumn="0" w:lastRow="0" w:noHBand="0" w:noVBand="1" w:val="04A0"/>
      </w:tblPr>
      <w:tblGrid>
        <w:gridCol w:w="1080"/>
        <w:gridCol w:w="1655"/>
        <w:gridCol w:w="7732"/>
      </w:tblGrid>
      <w:tr>
        <w:trPr>
          <w:tblHeader w:val="true"/>
        </w:trPr>
        <w:tc>
          <w:tcPr>
            <w:tcW w:type="dxa" w:w="1080"/>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Version</w:t>
            </w:r>
          </w:p>
        </w:tc>
        <w:tc>
          <w:tcPr>
            <w:tcW w:type="dxa" w:w="1656"/>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Date</w:t>
            </w:r>
          </w:p>
        </w:tc>
        <w:tc>
          <w:tcPr>
            <w:tcW w:type="dxa" w:w="7733"/>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Summary</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6"/>
              </w:rPr>
              <w:t>1.7</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6"/>
              </w:rPr>
              <w:t>18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6"/>
              </w:rPr>
              <w:t>Closes the main-Branch dead end and records what shipped with it, which is wider than v1.6 anticipated. The guard is not a refusal to close: Branch.transition() refuses every state in OUT_OF_SERVICE_STATES for the Branch carrying is_main, because a suspended or deactivated main Branch already leaves School.main_branch and every default-Branch pick naming a site nobody may be posted to. It sits at the one choke point every helper, the serializer and the shell pass through, and it raises two codes rather than one, because a School with a single Branch cannot follow the advice to promote a sibling: MAIN_BRANCH_CANNOT_LEAVE_SERVICE and LAST_BRANCH_CANNOT_LEAVE_SERVICE, both 409. The way out had never worked, which no version of this document recorded: BranchUpdateSerializer refused is_main=true whenever another main Branch existed, which is every School, and accepted is_main=false on the sole main Branch, leaving a School with none. Branch.promote_to_main() locks the Tenant row, demotes the incumbent in its own UPDATE, then promotes, in that order because the partial unique index is not deferrable. FR-020 is new and carries both halves. Slugs are now addresses, and FR-021 is new for them: 67 reserved platform hostnames enforced in Tenant.save() rather than on the field, an address editable until the Tenant has ever been live and frozen after - activated_at is not null or status is ACTIVE, not status alone, so a School suspended over an unpaid invoice cannot rename itself and strand its users - School.save() mirroring the slug onto the Tenant while it is still editable, and SchoolUpdateSerializer exposing slug with a 409 TENANT_SLUG_FROZEN for a live School. Two defects on the same path are recorded rather than left implied: the School update view re-fetched by slug and would have answered 404 for the rename that had just succeeded, and Branch._type was non-blank with no default while its own comment called it optional, so a row created outside the serializers was permanently unpatchable through the API - the same shape found and fixed on BranchLifecycle.from_state and .actor_id (vs_tenants 0007). FR-002, FR-005, FR-009, FR-010, FR-011, FR-018, the Branch lifecycle and data-model rows, the endpoint gates, both endpoint tables, the validation contract and the verification list follow. The P1 main-Branch item leaves Needs Attention, implemented and covered by tests in vs_tenants and vs_schools. One gap opens in its place: the display name is still not writable, because the spreadsheet importer resolves a School by name when a row carries no slug, so a rename would turn a School's own import file into a request to create a second School. Minor rather than patch, because status, behaviour, contracts, gaps and traceability all moved. MRD v2.18 predates all of this and understates Module 1: it needs a revision of its own for the handover, the service guarantee and address governance, and the last two traceability rows say so.</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6"/>
              </w:rPr>
              <w:t>1.6</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6"/>
              </w:rPr>
              <w:t>18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6"/>
              </w:rPr>
              <w:t>Corrects the document's model of how a Branch is owned. Since the tenant refactor, Branch has lived in vs_tenants with a protected foreign key to Tenant and no school column at all: School.tenant is a one-to-one, School.branches and School.main_branch are Python properties that hop through it, and every scoped query travels tenant__branches. Passages written before that move still described a direct School-to-Branch link, which points a builder at a filter path that does not exist. The ownership rules, the context section, the endpoint-gate scopes, FR-005, FR-008, FR-012, FR-016 and the tenant-aware dependency contract are restated so the owner named is the Tenant and the School is reached as that Tenant's profile; ordinary product sentences about a School's branches are left as they read. One statement was wrong rather than loose. FR-015 held that direct School deletion can cascade Branch data; it cannot, because no relationship exists for a cascade to follow, and the residual risk is the mirror image, a School profile deleted out from under a Tenant that still owns every Branch. FR-015, the Branch data-model row and the database-enforcement box now say that, and FR-016 records that a Branch is not transferable between Schools. This is a minor revision rather than a patch because that limitation was a functional claim, not a wording slip. No module status, permission key, endpoint, capability or data contract changed, and no Needs Attention item is opened, closed or restated: the main-Branch closure item stands exactly as v1.5 issued it. Reconciled to MRD v2.18, whose Module 1 entries carry the same product-level wording and need no revision.</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6"/>
              </w:rPr>
              <w:t>1.5</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6"/>
              </w:rPr>
              <w:t>18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6"/>
              </w:rPr>
              <w:t>Withdraws a database gap that did not exist, and records the one that does. v1.3 raised, and v1.4 restated more firmly, a P1 item saying that unique (school, code) and one main Branch per School were held only by the creation serializer and were missing from the database. That was wrong. Both constraints have existed since 2c09191 on 12 Aug as uq_branch_tenant_code and uq_branch_one_main_per_tenant, keyed on Tenant rather than School so they would survive the Branch model move; the migration that adds them repairs existing rows and flushes deferred triggers first, and vs_tenants 0004 re-declares them state-only. A reader of v1.4 should treat that item as withdrawn, not as completed work. 872904b then added ten tests that write through bulk_create to bypass Branch.save(), so the constraints are proven against the database rather than only declared, which is the evidence the item should have asked for. In its place, a real gap found in the same area: closing a School's main Branch is a dead end, because nothing demotes is_main and nothing refuses the close, so School.main_branch keeps pointing at a closed Branch and no replacement can be promoted. The decided fix, refusing the closure while the Tenant has another Branch, is not implemented. FR-005 moves to Implemented, FR-011 and FR-018 record what is left, and the Branch data-model row, the database-enforcement box, the verification list and traceability follow. 3cb6b61 is now on main, so the code baseline no longer cites uncommitted work. Reconciled to MRD v2.18, which does not repeat the claim and needs no revision. No module status, permission key, endpoint, or data contract changed.</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6"/>
              </w:rPr>
              <w:t>1.4</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6"/>
              </w:rPr>
              <w:t>17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6"/>
              </w:rPr>
              <w:t>Replaces the branch-operating declaration with the invariant that made it unnecessary. School.operates_branches recorded whether a School ran more than one site so that Module 9 could decide whether to show it a branch step. A stored answer could disagree with the Branch rows that answer the same question, so the column is dropped and it is counted from them instead; it leaves the create, update, and detail serializers with it. FR-018 is rewritten around what now holds: a Branch is required at School creation, an empty list is refused, and a lone Branch is promoted to main, so a School can no longer be created with nowhere to put a user, a document, or a record. Every Branch rule in the creation serializer had sat behind a condition that never ran for exactly that payload. FR-001, FR-009, the creation workflow, the School data-model row, and the nested Branch validation contract follow. The P1 database-constraint item is rewritten rather than closed: unique (school, code) and one main Branch per School now guard an invariant the product relies on, and only the serializer holds it. Module 9's branch checklist step went with the flag; see M09 FRD v2.3. Reconciled to MRD v2.18. No module status, permission key, or endpoint changed.</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6"/>
              </w:rPr>
              <w:t>1.3</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6"/>
              </w:rPr>
              <w:t>17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6"/>
              </w:rPr>
              <w:t>Records what School Onboarding changed in this module. School creation now provisions the School's own set of books and its onboarding control room in the same transaction, each best effort inside its own savepoint (FR-001, FR-017). School gained a branch-operating declaration, which is what decides whether a School has a branch step at all (FR-018), and a SUSPENDED status, so an abandoned onboarding can be written through the School and is not reverted by the status mirror on the next ordinary save (FR-019). School.save() now maintains the Tenant's onboarding pending stamps, so a rename does not restart the expiry clock. FR-015 moves from Not implemented to Partial: the onboarding lifecycle exists in both directions, while operator suspension, reactivation, and recoverable deletion do not. FR-012 records that a Tenant which is ACTIVE or PENDING may now authenticate, with a per-view surface allowlist deciding what a School that is not yet live may reach. Reconciled to MRD v2.17.</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6"/>
              </w:rPr>
              <w:t>1.2</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6"/>
              </w:rPr>
              <w:t>12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6"/>
              </w:rPr>
              <w:t>FR-011 moves from Defective to Implemented with limits. Branch.transition() persists the real lifecycle timestamps, publishes an allowed-transition matrix with CLOSED terminal and PENDING unreachable, and writes BranchLifecycle in the same transaction. The endpoint resolves the Branch within its route School and now requires platform.branches.manage. Reconciled to MRD v2.8.</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6"/>
              </w:rPr>
              <w:t>1.1</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6"/>
              </w:rPr>
              <w:t>11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6"/>
              </w:rPr>
              <w:t>Redesigned using the XVS MRD visual system; reconciled to current code and MRD v2.5.1; added platform onboarding defaults, Branch IDs, explicit acceptance criteria, workflow rules, current Needs Attention, and MRD traceability.</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6"/>
              </w:rPr>
              <w:t>1.0</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6"/>
              </w:rPr>
              <w:t>1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6"/>
              </w:rPr>
              <w:t>Initial code-aligned engineering FRD based on MRD predecessor v2.2 and commit 192f9782e3e9812a215ad4e3f322777ac12d9461.</w:t>
            </w:r>
          </w:p>
        </w:tc>
      </w:tr>
      <w:tr>
        <w:tc>
          <w:tcPr>
            <w:tcW w:type="dxa" w:w="7733"/>
            <w:gridSpan w:val="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EAF0FA"/>
          </w:tcPr>
          <w:p>
            <w:pPr>
              <w:spacing w:before="0" w:after="0" w:line="240" w:lineRule="auto"/>
              <w:jc w:val="left"/>
            </w:pPr>
            <w:r>
              <w:rPr>
                <w:rFonts w:ascii="Aptos Narrow" w:hAnsi="Aptos Narrow"/>
                <w:b/>
                <w:color w:val="355B9D"/>
                <w:sz w:val="16"/>
              </w:rPr>
              <w:t>MAINTENANCE RULE | Version this FRD independently. Update it only when Module 1 behavior, acceptance criteria, permissions, data contracts, APIs, dependencies, status, or current gaps change. Preserve every prior version.</w:t>
            </w:r>
          </w:p>
        </w:tc>
      </w:tr>
    </w:tbl>
    <w:sectPr w:rsidR="009D0EA2">
      <w:headerReference w:type="even" r:id="rId7"/>
      <w:headerReference w:type="default" r:id="rId8"/>
      <w:footerReference w:type="default" r:id="rId9"/>
      <w:headerReference w:type="first" r:id="rId10"/>
      <w:pgSz w:w="11906" w:h="16838"/>
      <w:pgMar w:top="1080" w:right="720" w:bottom="893" w:left="720" w:header="560" w:footer="560" w:gutter="0"/>
      <w:pgBorders w:offsetFrom="page">
        <w:left w:val="dotted" w:sz="4" w:space="24" w:color="auto"/>
        <w:right w:val="dotted" w:sz="4" w:space="24" w:color="auto"/>
      </w:pgBorders>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38E21791" w14:textId="77777777" w:rsidR="009D0EA2" w:rsidRDefault="009D0EA2">
      <w:r>
        <w:separator/>
      </w:r>
    </w:p>
  </w:endnote>
  <w:endnote w:type="continuationSeparator" w:id="0">
    <w:p w14:paraId="5455C193" w14:textId="77777777" w:rsidR="009D0EA2" w:rsidRDefault="009D0EA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Narrow">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E26574D" w14:textId="77777777" w:rsidR="00B06F99" w:rsidRDefault="00000000">
    <w:pPr>
      <w:pBdr>
        <w:top w:val="single" w:sz="6" w:space="4" w:color="BFBFBF"/>
      </w:pBdr>
      <w:jc w:val="right"/>
    </w:pPr>
    <w:r>
      <w:rPr>
        <w:color w:val="5A6472"/>
        <w:szCs w:val="18"/>
      </w:rPr>
      <w:fldChar w:fldCharType="begin"/>
    </w:r>
    <w:r>
      <w:rPr>
        <w:color w:val="5A6472"/>
        <w:szCs w:val="18"/>
      </w:rPr>
      <w:instrText>PAGE</w:instrText>
    </w:r>
    <w:r>
      <w:rPr>
        <w:color w:val="5A6472"/>
        <w:szCs w:val="18"/>
      </w:rPr>
      <w:fldChar w:fldCharType="separate"/>
    </w:r>
    <w:r w:rsidR="008F44EE">
      <w:rPr>
        <w:noProof/>
        <w:color w:val="5A6472"/>
        <w:szCs w:val="18"/>
      </w:rPr>
      <w:t>3</w:t>
    </w:r>
    <w:r>
      <w:rPr>
        <w:color w:val="5A6472"/>
        <w:szCs w:val="18"/>
      </w:rPr>
      <w:fldChar w:fldCharType="end"/>
    </w:r>
    <w:r>
      <w:rPr>
        <w:color w:val="5A6472"/>
        <w:szCs w:val="18"/>
      </w:rPr>
      <w:t xml:space="preserve"> | P a g e</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07D756A4" w14:textId="77777777" w:rsidR="009D0EA2" w:rsidRDefault="009D0EA2">
      <w:r>
        <w:separator/>
      </w:r>
    </w:p>
  </w:footnote>
  <w:footnote w:type="continuationSeparator" w:id="0">
    <w:p w14:paraId="4F82DB6D" w14:textId="77777777" w:rsidR="009D0EA2" w:rsidRDefault="009D0EA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1EC25A3" w14:textId="77777777" w:rsidR="00B06F99" w:rsidRDefault="00000000">
    <w:pPr>
      <w:pBdr>
        <w:bottom w:val="single" w:sz="12" w:space="5" w:color="355B9D"/>
      </w:pBdr>
      <w:tabs>
        <w:tab w:val="right" w:pos="10466"/>
      </w:tabs>
      <w:spacing w:after="0" w:before="0" w:line="240" w:lineRule="auto"/>
      <w:jc w:val="left"/>
    </w:pPr>
    <w:r>
      <w:rPr>
        <w:rFonts w:eastAsia="Aptos Narrow" w:cs="Aptos Narrow" w:ascii="Aptos Narrow" w:hAnsi="Aptos Narrow"/>
        <w:color w:val="355B9D"/>
        <w:sz w:val="17"/>
        <w:szCs w:val="18"/>
      </w:rPr>
      <w:t>CodeX | School &amp; Branch Management | Functional Requirements Document (FRD)</w:t>
    </w:r>
    <w:r>
      <w:tab/>
    </w:r>
    <w:r>
      <w:rPr>
        <w:noProof/>
      </w:rPr>
      <w:drawing>
        <wp:inline distT="0" distB="0" distL="0" distR="0" wp14:anchorId="472627C1" wp14:editId="1DCFDFCC">
          <wp:extent cx="247650" cy="209550"/>
          <wp:effectExtent l="0" t="0" r="0" b="0"/>
          <wp:docPr id="1359901648" name="hlogo" descr="logo" title="Code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247650" cy="209550"/>
                  </a:xfrm>
                  <a:prstGeom prst="rect">
                    <a:avLst/>
                  </a:prstGeom>
                </pic:spPr>
              </pic:pic>
            </a:graphicData>
          </a:graphic>
        </wp:inline>
      </w:drawing>
    </w:r>
    <w:r>
      <w:rPr>
        <w:noProof/>
      </w:rPr>
      <w:drawing>
        <wp:anchor distT="0" distB="0" distL="0" distR="0" simplePos="0" relativeHeight="251657728" behindDoc="1" locked="0" layoutInCell="1" allowOverlap="1" wp14:anchorId="4AC94FEE" wp14:editId="280C277E">
          <wp:simplePos x="0" y="0"/>
          <wp:positionH relativeFrom="page">
            <wp:align>center</wp:align>
          </wp:positionH>
          <wp:positionV relativeFrom="page">
            <wp:align>center</wp:align>
          </wp:positionV>
          <wp:extent cx="2857500" cy="2381250"/>
          <wp:effectExtent l="0" t="0" r="0" b="0"/>
          <wp:wrapNone/>
          <wp:docPr id="2012909521" name="wm" descr="CodeX watermark" title="waterma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
                  <a:srcRect/>
                  <a:stretch>
                    <a:fillRect/>
                  </a:stretch>
                </pic:blipFill>
                <pic:spPr bwMode="auto">
                  <a:xfrm>
                    <a:off x="0" y="0"/>
                    <a:ext cx="2857500" cy="2381250"/>
                  </a:xfrm>
                  <a:prstGeom prst="rect">
                    <a:avLst/>
                  </a:prstGeom>
                </pic:spPr>
              </pic:pic>
            </a:graphicData>
          </a:graphic>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42B8AC7" w14:textId="77777777" w:rsidR="00B06F99" w:rsidRDefault="004B4937">
    <w:pPr>
      <w:pBdr>
        <w:bottom w:val="single" w:sz="12" w:space="5" w:color="355B9D"/>
      </w:pBdr>
      <w:tabs>
        <w:tab w:val="right" w:pos="10466"/>
      </w:tabs>
      <w:spacing w:after="0" w:before="0" w:line="240" w:lineRule="auto"/>
      <w:jc w:val="left"/>
    </w:pPr>
    <w:r>
      <w:rPr>
        <w:noProof/>
      </w:rPr>
      <w:drawing>
        <wp:anchor distT="0" distB="0" distL="0" distR="0" simplePos="0" relativeHeight="251656704" behindDoc="1" locked="0" layoutInCell="1" allowOverlap="1" wp14:anchorId="222F5D53" wp14:editId="4D33728D">
          <wp:simplePos x="0" y="0"/>
          <wp:positionH relativeFrom="page">
            <wp:posOffset>1380598</wp:posOffset>
          </wp:positionH>
          <wp:positionV relativeFrom="page">
            <wp:posOffset>3939850</wp:posOffset>
          </wp:positionV>
          <wp:extent cx="4710275" cy="3925229"/>
          <wp:effectExtent l="0" t="0" r="0" b="0"/>
          <wp:wrapNone/>
          <wp:docPr id="1544077136" name="wm" descr="CodeX watermark" title="waterma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4710275" cy="3925229"/>
                  </a:xfrm>
                  <a:prstGeom prst="rect">
                    <a:avLst/>
                  </a:prstGeom>
                </pic:spPr>
              </pic:pic>
            </a:graphicData>
          </a:graphic>
          <wp14:sizeRelH relativeFrom="margin">
            <wp14:pctWidth>0</wp14:pctWidth>
          </wp14:sizeRelH>
          <wp14:sizeRelV relativeFrom="margin">
            <wp14:pctHeight>0</wp14:pctHeight>
          </wp14:sizeRelV>
        </wp:anchor>
      </w:drawing>
    </w:r>
    <w:r>
      <w:rPr>
        <w:rFonts w:eastAsia="Aptos Narrow" w:cs="Aptos Narrow" w:ascii="Aptos Narrow" w:hAnsi="Aptos Narrow"/>
        <w:color w:val="355B9D"/>
        <w:sz w:val="17"/>
        <w:szCs w:val="18"/>
      </w:rPr>
      <w:t>CodeX | School &amp; Branch Management | Functional Requirements Document (FRD)</w:t>
    </w:r>
    <w:r>
      <w:tab/>
    </w:r>
    <w:r>
      <w:rPr>
        <w:noProof/>
      </w:rPr>
      <w:drawing>
        <wp:inline distT="0" distB="0" distL="0" distR="0" wp14:anchorId="7553D1EE" wp14:editId="7028B3F0">
          <wp:extent cx="247650" cy="209550"/>
          <wp:effectExtent l="0" t="0" r="0" b="0"/>
          <wp:docPr id="1863547200" name="hlogo" descr="logo" title="Code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
                  <a:srcRect/>
                  <a:stretch>
                    <a:fillRect/>
                  </a:stretch>
                </pic:blipFill>
                <pic:spPr bwMode="auto">
                  <a:xfrm>
                    <a:off x="0" y="0"/>
                    <a:ext cx="247650" cy="209550"/>
                  </a:xfrm>
                  <a:prstGeom prst="rect">
                    <a:avLst/>
                  </a:prstGeom>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6EC6DD7" w14:textId="77777777" w:rsidR="00B06F99" w:rsidRDefault="00000000">
    <w:r>
      <w:rPr>
        <w:noProof/>
      </w:rPr>
      <w:drawing>
        <wp:anchor distT="0" distB="0" distL="0" distR="0" simplePos="0" relativeHeight="251658752" behindDoc="1" locked="0" layoutInCell="1" allowOverlap="1" wp14:anchorId="60548E07" wp14:editId="26D99E2D">
          <wp:simplePos x="0" y="0"/>
          <wp:positionH relativeFrom="page">
            <wp:posOffset>0</wp:posOffset>
          </wp:positionH>
          <wp:positionV relativeFrom="page">
            <wp:posOffset>0</wp:posOffset>
          </wp:positionV>
          <wp:extent cx="7562850" cy="10696575"/>
          <wp:effectExtent l="0" t="0" r="0" b="0"/>
          <wp:wrapNone/>
          <wp:docPr id="848969519" name="cover" descr="cityscape cover" title="cov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7562850" cy="10696575"/>
                  </a:xfrm>
                  <a:prstGeom prst="rect">
                    <a:avLst/>
                  </a:prstGeom>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5204F5E"/>
    <w:multiLevelType w:val="hybridMultilevel"/>
    <w:tmpl w:val="16E4A6B2"/>
    <w:lvl w:ilvl="0" w:tplc="6E0424D6">
      <w:start w:val="1"/>
      <w:numFmt w:val="bullet"/>
      <w:lvlText w:val="•"/>
      <w:lvlJc w:val="left"/>
      <w:pPr>
        <w:ind w:left="460" w:hanging="260"/>
      </w:pPr>
      <w:rPr>
        <w:color w:val="4472C4"/>
      </w:rPr>
    </w:lvl>
    <w:lvl w:ilvl="1" w:tplc="722EB47C">
      <w:numFmt w:val="decimal"/>
      <w:lvlText w:val=""/>
      <w:lvlJc w:val="left"/>
    </w:lvl>
    <w:lvl w:ilvl="2" w:tplc="927ACA02">
      <w:numFmt w:val="decimal"/>
      <w:lvlText w:val=""/>
      <w:lvlJc w:val="left"/>
    </w:lvl>
    <w:lvl w:ilvl="3" w:tplc="2E525AA0">
      <w:numFmt w:val="decimal"/>
      <w:lvlText w:val=""/>
      <w:lvlJc w:val="left"/>
    </w:lvl>
    <w:lvl w:ilvl="4" w:tplc="401604F2">
      <w:numFmt w:val="decimal"/>
      <w:lvlText w:val=""/>
      <w:lvlJc w:val="left"/>
    </w:lvl>
    <w:lvl w:ilvl="5" w:tplc="1E0E7D50">
      <w:numFmt w:val="decimal"/>
      <w:lvlText w:val=""/>
      <w:lvlJc w:val="left"/>
    </w:lvl>
    <w:lvl w:ilvl="6" w:tplc="F9C240A4">
      <w:numFmt w:val="decimal"/>
      <w:lvlText w:val=""/>
      <w:lvlJc w:val="left"/>
    </w:lvl>
    <w:lvl w:ilvl="7" w:tplc="55AC28D6">
      <w:numFmt w:val="decimal"/>
      <w:lvlText w:val=""/>
      <w:lvlJc w:val="left"/>
    </w:lvl>
    <w:lvl w:ilvl="8" w:tplc="02C0F3A8">
      <w:numFmt w:val="decimal"/>
      <w:lvlText w:val=""/>
      <w:lvlJc w:val="left"/>
    </w:lvl>
  </w:abstractNum>
  <w:abstractNum w:abstractNumId="1" w15:restartNumberingAfterBreak="0">
    <w:nsid w:val="7D452660"/>
    <w:multiLevelType w:val="hybridMultilevel"/>
    <w:tmpl w:val="F7FC3EB2"/>
    <w:lvl w:ilvl="0" w:tplc="997A7784">
      <w:start w:val="1"/>
      <w:numFmt w:val="bullet"/>
      <w:lvlText w:val="●"/>
      <w:lvlJc w:val="left"/>
      <w:pPr>
        <w:ind w:left="720" w:hanging="360"/>
      </w:pPr>
    </w:lvl>
    <w:lvl w:ilvl="1" w:tplc="8818974E">
      <w:start w:val="1"/>
      <w:numFmt w:val="bullet"/>
      <w:lvlText w:val="○"/>
      <w:lvlJc w:val="left"/>
      <w:pPr>
        <w:ind w:left="1440" w:hanging="360"/>
      </w:pPr>
    </w:lvl>
    <w:lvl w:ilvl="2" w:tplc="382C4E56">
      <w:start w:val="1"/>
      <w:numFmt w:val="bullet"/>
      <w:lvlText w:val="■"/>
      <w:lvlJc w:val="left"/>
      <w:pPr>
        <w:ind w:left="2160" w:hanging="360"/>
      </w:pPr>
    </w:lvl>
    <w:lvl w:ilvl="3" w:tplc="AB381E2C">
      <w:start w:val="1"/>
      <w:numFmt w:val="bullet"/>
      <w:lvlText w:val="●"/>
      <w:lvlJc w:val="left"/>
      <w:pPr>
        <w:ind w:left="2880" w:hanging="360"/>
      </w:pPr>
    </w:lvl>
    <w:lvl w:ilvl="4" w:tplc="F2E6E986">
      <w:start w:val="1"/>
      <w:numFmt w:val="bullet"/>
      <w:lvlText w:val="○"/>
      <w:lvlJc w:val="left"/>
      <w:pPr>
        <w:ind w:left="3600" w:hanging="360"/>
      </w:pPr>
    </w:lvl>
    <w:lvl w:ilvl="5" w:tplc="3DF0A4E6">
      <w:start w:val="1"/>
      <w:numFmt w:val="bullet"/>
      <w:lvlText w:val="■"/>
      <w:lvlJc w:val="left"/>
      <w:pPr>
        <w:ind w:left="4320" w:hanging="360"/>
      </w:pPr>
    </w:lvl>
    <w:lvl w:ilvl="6" w:tplc="8D6AC05C">
      <w:start w:val="1"/>
      <w:numFmt w:val="bullet"/>
      <w:lvlText w:val="●"/>
      <w:lvlJc w:val="left"/>
      <w:pPr>
        <w:ind w:left="5040" w:hanging="360"/>
      </w:pPr>
    </w:lvl>
    <w:lvl w:ilvl="7" w:tplc="20F01714">
      <w:start w:val="1"/>
      <w:numFmt w:val="bullet"/>
      <w:lvlText w:val="●"/>
      <w:lvlJc w:val="left"/>
      <w:pPr>
        <w:ind w:left="5760" w:hanging="360"/>
      </w:pPr>
    </w:lvl>
    <w:lvl w:ilvl="8" w:tplc="AE7660C8">
      <w:start w:val="1"/>
      <w:numFmt w:val="bullet"/>
      <w:lvlText w:val="●"/>
      <w:lvlJc w:val="left"/>
      <w:pPr>
        <w:ind w:left="6480" w:hanging="360"/>
      </w:pPr>
    </w:lvl>
  </w:abstractNum>
  <w:num w:numId="1" w16cid:durableId="1407534841">
    <w:abstractNumId w:val="1"/>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06F99"/>
    <w:rsid w:val="000D42B9"/>
    <w:rsid w:val="000E3B70"/>
    <w:rsid w:val="00115784"/>
    <w:rsid w:val="00140AC7"/>
    <w:rsid w:val="00181B60"/>
    <w:rsid w:val="002E2222"/>
    <w:rsid w:val="00472341"/>
    <w:rsid w:val="00483C9E"/>
    <w:rsid w:val="00491325"/>
    <w:rsid w:val="004B4937"/>
    <w:rsid w:val="00603681"/>
    <w:rsid w:val="006B3CEE"/>
    <w:rsid w:val="008F44EE"/>
    <w:rsid w:val="009D0EA2"/>
    <w:rsid w:val="00A62A3E"/>
    <w:rsid w:val="00B06F99"/>
    <w:rsid w:val="00BC5CB6"/>
    <w:rsid w:val="00BD37DE"/>
    <w:rsid w:val="00C24B07"/>
    <w:rsid w:val="00CF0ADF"/>
    <w:rsid w:val="00D11A40"/>
    <w:rsid w:val="00DF3480"/>
    <w:rsid w:val="00DF58C5"/>
    <w:rsid w:val="00E02108"/>
    <w:rsid w:val="00E51340"/>
    <w:rsid w:val="00E62093"/>
    <w:rsid w:val="00E73CFF"/>
    <w:rsid w:val="00E748E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FEB547"/>
  <w15:docId w15:val="{E19EA510-7BB3-A245-84A4-5CC32F08D5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Aptos" w:eastAsia="Aptos" w:hAnsi="Aptos" w:cs="Aptos"/>
        <w:color w:val="1A1A1A"/>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60"/>
    </w:pPr>
    <w:rPr>
      <w:rFonts w:ascii="Aptos Narrow" w:hAnsi="Aptos Narrow"/>
      <w:sz w:val="18"/>
    </w:rPr>
  </w:style>
  <w:style w:type="paragraph" w:styleId="Heading1">
    <w:name w:val="heading 1"/>
    <w:uiPriority w:val="9"/>
    <w:qFormat/>
    <w:pPr>
      <w:spacing w:before="300" w:after="160"/>
      <w:outlineLvl w:val="0"/>
    </w:pPr>
    <w:rPr>
      <w:rFonts w:ascii="Aptos Narrow" w:eastAsia="Aptos Narrow" w:hAnsi="Aptos Narrow" w:cs="Aptos Narrow"/>
      <w:b/>
      <w:bCs/>
      <w:color w:val="000000"/>
      <w:sz w:val="34"/>
      <w:szCs w:val="34"/>
    </w:rPr>
  </w:style>
  <w:style w:type="paragraph" w:styleId="Heading2">
    <w:name w:val="heading 2"/>
    <w:uiPriority w:val="9"/>
    <w:unhideWhenUsed/>
    <w:qFormat/>
    <w:pPr>
      <w:spacing w:before="220" w:after="120"/>
      <w:outlineLvl w:val="1"/>
    </w:pPr>
    <w:rPr>
      <w:rFonts w:ascii="Aptos Narrow" w:eastAsia="Aptos Narrow" w:hAnsi="Aptos Narrow" w:cs="Aptos Narrow"/>
      <w:b/>
      <w:bCs/>
      <w:color w:val="000000"/>
      <w:sz w:val="27"/>
      <w:szCs w:val="27"/>
    </w:rPr>
  </w:style>
  <w:style w:type="paragraph" w:styleId="Heading3">
    <w:name w:val="heading 3"/>
    <w:uiPriority w:val="9"/>
    <w:semiHidden/>
    <w:unhideWhenUsed/>
    <w:qFormat/>
    <w:pPr>
      <w:spacing w:before="160" w:after="80"/>
      <w:outlineLvl w:val="2"/>
    </w:pPr>
    <w:rPr>
      <w:rFonts w:ascii="Aptos Narrow" w:eastAsia="Aptos Narrow" w:hAnsi="Aptos Narrow" w:cs="Aptos Narrow"/>
      <w:b/>
      <w:bCs/>
      <w:color w:val="1F3763"/>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8F44EE"/>
    <w:pPr>
      <w:spacing w:after="100"/>
    </w:pPr>
  </w:style>
  <w:style w:type="paragraph" w:styleId="TOC2">
    <w:name w:val="toc 2"/>
    <w:basedOn w:val="Normal"/>
    <w:next w:val="Normal"/>
    <w:autoRedefine/>
    <w:uiPriority w:val="39"/>
    <w:unhideWhenUsed/>
    <w:rsid w:val="008F44EE"/>
    <w:pPr>
      <w:spacing w:after="100"/>
      <w:ind w:left="220"/>
    </w:pPr>
  </w:style>
  <w:style w:type="paragraph" w:styleId="Footer">
    <w:name w:val="footer"/>
    <w:basedOn w:val="Normal"/>
    <w:link w:val="FooterChar"/>
    <w:uiPriority w:val="99"/>
    <w:unhideWhenUsed/>
    <w:rsid w:val="004B4937"/>
    <w:pPr>
      <w:tabs>
        <w:tab w:val="center" w:pos="4680"/>
        <w:tab w:val="right" w:pos="9360"/>
      </w:tabs>
    </w:pPr>
  </w:style>
  <w:style w:type="character" w:customStyle="1" w:styleId="FooterChar">
    <w:name w:val="Footer Char"/>
    <w:basedOn w:val="DefaultParagraphFont"/>
    <w:link w:val="Footer"/>
    <w:uiPriority w:val="99"/>
    <w:rsid w:val="004B493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header" Target="header3.xml"/><Relationship Id="rId4" Type="http://schemas.openxmlformats.org/officeDocument/2006/relationships/webSettings" Target="webSettings.xml"/><Relationship Id="rId9" Type="http://schemas.openxmlformats.org/officeDocument/2006/relationships/footer" Target="footer1.xml"/><Relationship Id="rId13" Type="http://schemas.openxmlformats.org/officeDocument/2006/relationships/image" Target="media/image1.png"/></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1.png"/><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24</TotalTime>
  <Pages>16</Pages>
  <Words>4601</Words>
  <Characters>26229</Characters>
  <Application>Microsoft Office Word</Application>
  <DocSecurity>0</DocSecurity>
  <Lines>218</Lines>
  <Paragraphs>61</Paragraphs>
  <ScaleCrop>false</ScaleCrop>
  <HeadingPairs>
    <vt:vector size="2" baseType="variant">
      <vt:variant>
        <vt:lpstr>Title</vt:lpstr>
      </vt:variant>
      <vt:variant>
        <vt:i4>1</vt:i4>
      </vt:variant>
    </vt:vector>
  </HeadingPairs>
  <TitlesOfParts>
    <vt:vector size="1" baseType="lpstr">
      <vt:lpstr>School and Branch Management Functional Requirements Document v1.3</vt:lpstr>
    </vt:vector>
  </TitlesOfParts>
  <Company/>
  <LinksUpToDate>false</LinksUpToDate>
  <CharactersWithSpaces>30769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School and Branch Management Functional Requirements Document v1.6</dc:title>
  <dc:subject>Code-aligned functional requirements for XVS Module 1</dc:subject>
  <dc:creator>CodeX Team</dc:creator>
  <dc:description>Built from v2.2 visual template and reviewed against the current backend worktree.</dc:description>
  <cp:lastModifiedBy>Chidera Ohiaekpete</cp:lastModifiedBy>
  <cp:revision>6</cp:revision>
  <cp:lastPrinted>2026-07-17T18:03:00Z</cp:lastPrinted>
  <dcterms:created xsi:type="dcterms:W3CDTF">2026-07-17T18:03:00Z</dcterms:created>
  <dcterms:modified xsi:type="dcterms:W3CDTF">2026-08-18T09:00:00Z</dcterms:modified>
  <cp:version>1.6</cp:version>
</cp:coreProperties>
</file>