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1.24.1</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2.111</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2"/>
        <w:keepNext/>
        <w:pBdr>
          <w:bottom w:val="single" w:sz="8" w:space="5" w:color="355B9D"/>
        </w:pBdr>
      </w:pPr>
      <w:r>
        <w:t>FR-028  Name People by Their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FR-028  Name People by Their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Return a person's first and last names from the shared user model wherever a module asks for a human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new key and no new Field Access field. Each consuming surface keeps its own authorization and field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identity model supplies only the label for a person already within the caller's authorized tenant and resource scope.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get_full_name() joins the stored first and last names; get_short_name() uses the same human-name basis. An account with no name falls back to its email so an operational row is never blank. Finance audit keeps actor email beside actor_name so two people with one name remain distinguishable.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petty-cash keeper, claimant, workflow actor, and finance-audit option show Ada Okafor when those names are stored. An unnamed service account shows its email. Tests: vs_finance.tests_people_named.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email fallback is deliberate for an account with no name; it is not used when either stored name produces a label.</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client-address tests ran at a5bae05e, core 20 and vs_user 3, all OK; the lockout, branch reach and as-at changes were verified when committed, vs_user 405, 414 and 421 tests, each run on its own, all OK.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pStyle w:val="Heading2"/>
      </w:pPr>
      <w:r>
        <w:t>Current Functional Contracts</w:t>
      </w:r>
    </w:p>
    <w:p>
      <w:pPr/>
      <w:r>
        <w:t>These contracts state the current behavior at the code baseline and govern where an earlier sentence in this document describes an older rule.</w:t>
      </w:r>
    </w:p>
    <w:p>
      <w:r>
        <w:t>Every signed-in member receives the tenant display block on login and /me: time_zone, date_format, clock and branch_zones. The platform tenant receives the platform values, while a school member receives the school's values and any branch overrides.</w:t>
      </w:r>
    </w:p>
    <w:p>
      <w:pPr>
        <w:pStyle w:val="Heading2"/>
      </w:pPr>
      <w:r>
        <w:t>D83-D102 Current Contracts</w:t>
      </w:r>
    </w:p>
    <w:p>
      <w:pPr/>
      <w:r>
        <w:t>These contracts state current behavior at the committed evidence boundary and replace an earlier sentence wherever the two disagree.</w:t>
      </w:r>
    </w:p>
    <w:p>
      <w:r>
        <w:t>Password-reset expiry text renders in the person's branch time zone and names that zone. The stored expiry remains an instant and is never rewritten when display preferences change.</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Exited people: </w:t>
      </w:r>
      <w:r>
        <w:t>Resolvable person summaries expose an explicit exited flag. Historical records keep the person named after deactivation, and consumers mark departure from that flag rather than guessing from account status, a missing image, or free text.</w:t>
      </w:r>
    </w:p>
    <w:p>
      <w:pPr>
        <w:keepLines/>
      </w:pPr>
      <w:r>
        <w:t xml:space="preserve">• </w:t>
      </w:r>
      <w:r>
        <w:rPr>
          <w:b/>
        </w:rPr>
        <w:t xml:space="preserve">Boundary: </w:t>
      </w:r>
      <w:r>
        <w:t>Bulk identity resolution remains bounded and domain-neutral. Free-text historical names remain unmarked when no unique account can be resolved.</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People search reuses the student, guardian and staff palette services. A match can use only fields the reader may read, and result labels omit hidden names, job titles and staff numbers.</w:t>
      </w:r>
    </w:p>
    <w:p>
      <w:pPr>
        <w:spacing w:after="60"/>
      </w:pPr>
      <w:r>
        <w:t>• Guardian directories, ward blocks, sibling lists, staff directories and the organogram apply the same Field Access decisions on every alternate read path.</w:t>
      </w:r>
    </w:p>
    <w:p>
      <w:pPr>
        <w:spacing w:after="60"/>
      </w:pPr>
      <w:r>
        <w:t>• CodeX staff are governed by platform staff-profile fields in their own tenant. Portable organogram templates can be exported, imported, validated and rolled back without converting school records into platform identities.</w:t>
      </w:r>
    </w:p>
    <w:p>
      <w:pPr>
        <w:pStyle w:val="Heading1"/>
        <w:keepNext/>
        <w:pBdr>
          <w:bottom w:val="single" w:sz="14" w:space="5" w:color="355B9D"/>
        </w:pBdr>
      </w:pPr>
      <w:r>
        <w:t>Current Contracts at 19 October 2026</w:t>
      </w:r>
    </w:p>
    <w:p>
      <w:r>
        <w:t>Pupil identity and device sessions. A pupil account may have no email, holds no role, and signs in through the admission number registry owned by the school layer. An identifier that resolves to more than one account signs nobody in. Eligible pupil accounts receive long-lived device sessions, one per account on a shared device, with refresh, sign-out and hand-over routes. The school sets the session window from 1 to 90 days, default 30.</w:t>
      </w:r>
    </w:p>
    <w:p>
      <w:r>
        <w:t>Session ending is one contract. blacklist_all_user_tokens ends every refresh token, active LoginSession row and impersonation in one transaction, records the required reason and fires device_session_ended for each device session so its push subscription is released. Password change, completed reset, deactivation, suspension, email change, portal closure and force logout all use it. Access tokens already issued remain valid only until their fifteen-minute expiry.</w:t>
      </w:r>
    </w:p>
    <w:p>
      <w:r>
        <w:t>Activation and reset previews return sign_in_as and device_app so the correct product can complete the hand-over. The browser sign-in response names the eligible app. Signing out one account ends only that account on that device; force logout and status changes end all of its device sessions.</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v2.108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FR-001, FR-028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v2.93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1.24.1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the shared human-name contract: first and last names lead, and email is only the fallback for an unnamed account. Aligns with MRD v2.111.</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pupil identifiers, device sessions and one all-session revocation contract; repairs the change-log header and traceability.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v1.24.1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v1.24.1</dc:title>
  <cp:lastModifiedBy>Chidera Ohiaekpete</cp:lastModifiedBy>
  <cp:revision>1</cp:revision>
  <cp:lastPrinted>2026-07-17T18:03:00Z</cp:lastPrinted>
  <dcterms:created xsi:type="dcterms:W3CDTF">2026-07-17T18:03:00Z</dcterms:created>
  <dcterms:modified xsi:type="dcterms:W3CDTF">2026-08-19T12:00:00Z</dcterms:modified>
  <cp:version>1.24.1</cp:version>
</cp:coreProperties>
</file>