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1.20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1.20</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2.111</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pStyle w:val="Heading2"/>
        <w:keepNext/>
        <w:pBdr>
          <w:bottom w:val="single" w:sz="8" w:space="5" w:color="355B9D"/>
        </w:pBdr>
      </w:pPr>
      <w:r>
        <w:t>FR-026  Reconcile Payroll, Budgets, Bank Imports, Claims, and Human Labels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FR-026  Reconcile Payroll, Budgets, Bank Imports, Claims, and Human Labels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Keep the current finance contracts for payroll documents, directional budget totals, bank-statement entry, expense claimants, and human-readable person labels in one reconciled requirement.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Existing payslip, report, bank-account import, expense-claim, audit, and dashboard keys remain. finance.expenseclaim.claimant adds Read and Write Field Access over claimant_id, claimant_name, and claimant; it is open by default and not open on create.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A bank import starts from an account resolved inside tenant, entity, and branch reach. A claimant id resolves through the payroll person resolver inside the entity's tenant. Budget headlines count the direction the plan budgets, while rows of the other direction remain visible without changing the headline.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redesigned payslip and tax summary use WeasyPrint with the ReportLab fallback described by Module 12. A spending plan totals spending; an income-only plan totals income. Expense claims accept claimant as an account id and copy claimant_name; when no person is supplied a typed claimant_name is required. Unknown, malformed, foreign, and non-staff ids share one 400 refusal. Migration 0076 links no old claim, so its typed name remains. Claimant Field Access reaches searches, both exports, approval cards, and the spending dashboard; older frozen approval cards keep their saved name. Human labels use first and last names and fall back to email only for an unnamed account. Finance audit carries actor_name beside actor email and orders filter options by name.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An unbudgeted fee-income row remains in a spending report but does not inflate actual spending or the consumed share. A claim can select a current employee and rejects another school's account without revealing it. Hiding claimant removes it from every alternate read and blocks writes. A finance audit distinguishes two Ada Okafors by retaining their emails. Tests: vs_finance.tests_payslip_document, vs_finance.tests, vs_finance.test_statement_import_wizard, vs_finance.tests_expense_claim_claimant, vs_finance.tests_field_access_deep_payload, and vs_finance.tests_people_named.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Older expense claims remain typed names because the migration deliberately guesses no identity. ReportLab remains a fallback where the HTML renderer's native libraries are unavailable.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v2.101.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bl>
    <w:p w:rsidR="00A62A3E" w:rsidRDefault="00000000">
      <w:pPr>
        <w:keepLines/>
        <w:spacing w:after="120"/>
      </w:pPr>
      <w:r>
        <w:t>All 26 entries are traced above. Module number, name, phase, backend and in-use states and code ownership agree with MRD v2.101,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r>
      <w:tr>
        <w:tc>
          <w:tcPr>
            <w:tcW w:type="dxa" w:w="1200"/>
          </w:tcPr>
          <w:p>
            <w:r>
              <w:t>1.20</w:t>
            </w:r>
          </w:p>
        </w:tc>
        <w:tc>
          <w:tcPr>
            <w:tcW w:type="dxa" w:w="1600"/>
          </w:tcPr>
          <w:p>
            <w:r>
              <w:t>23 October 2026</w:t>
            </w:r>
          </w:p>
        </w:tc>
        <w:tc>
          <w:tcPr>
            <w:tcW w:type="dxa" w:w="7668"/>
          </w:tcPr>
          <w:p>
            <w:r>
              <w:t>Reconciles payroll documents, directional budget totals, bank-statement entry, expense claimants, claimant Field Access, and human labels. Aligns with MRD v2.111.</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r>
        <w:tc>
          <w:tcPr>
            <w:tcW w:type="dxa" w:w="1200"/>
          </w:tcPr>
          <w:p>
            <w:r>
              <w:t>1.18</w:t>
            </w:r>
          </w:p>
        </w:tc>
        <w:tc>
          <w:tcPr>
            <w:tcW w:type="dxa" w:w="1600"/>
          </w:tcPr>
          <w:p>
            <w:r>
              <w:t>14 October 2026</w:t>
            </w:r>
          </w:p>
        </w:tc>
        <w:tc>
          <w:tcPr>
            <w:tcW w:type="dxa" w:w="7668"/>
          </w:tcPr>
          <w:p>
            <w: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p/>
    <w:p/>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v1.20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v1.20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1.20</cp:version>
</cp:coreProperties>
</file>