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p>
            <w:r>
              <w:rPr>
                <w:b/>
                <w:color w:val="FFFFFF"/>
                <w:sz w:val="28"/>
              </w:rPr>
              <w:t>Module Requirements Document</w:t>
            </w:r>
          </w:p>
          <w:p>
            <w:r>
              <w:rPr>
                <w:color w:val="FFFFFF"/>
                <w:sz w:val="20"/>
              </w:rPr>
              <w:t>XVision Systems | Code-aligned functional baseline</w:t>
            </w:r>
          </w:p>
          <w:p>
            <w:r>
              <w:rPr>
                <w:b/>
                <w:color w:val="FFFFFF"/>
                <w:sz w:val="19"/>
              </w:rPr>
              <w:t>Prepared by: CodeX Team     Version: 2.118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2.118</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expense-claim Field Access implementation and focused verification. Shared finance screen checked locally; deployment is not asserted.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School setup now supplies the standard leave route and school delivery resolves the school's own email name and logo. Documented by M01 FRD v1.35.1.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Native and parent device sessions keep refresh credentials in the phone keychain, recover one lost rotation inside a short grace window, and eligible people may close their own account under product policy. Documented by M03 FRD v1.25.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The finance budget resource has eight registered field decisions, including a sensitive planned amount. The report resource has seventeen read-only statement-section decisions. Hidden aliases are removed from nested and alternate payloads. Procurement registers its Area C fields in the same role editor, with derived report and dashboard values following their source switches. Pending role grants have a narrow branch-scoped read, and Field Access covers leave, account closure, managed accounts, statutory lines, virtual-account values, and refund bank writes. Documented by M04 FRD v1.46.</w:t>
      </w:r>
      <w:r/>
      <w:r/>
      <w:r/>
      <w:r>
        <w:t xml:space="preserve"> Expense claims have separate per-role decisions for claimant, date, purpose, narration, line details, amounts, receipt evidence, status and reimbursement status. Receipt evidence starts closed.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Leave and account-closure evidence stays durable without exposing fields their reader cannot read. Documented by M05 FRD v1.13.1.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Schools configure parent device-session length and whether families may start card payments. Documented by M06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Leave routes from the person it concerns, and every school owns an editable no-step hand-journal route that fails closed until configured or explicitly bypassed. Documented by M07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School email carries the school's own identity, phone push uses Firebase beside Web Push, and account closure and booked transfers raise their dedicated notices. Documented by M08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and built from the Student Management design of 29 August 2026. Guardian-only accounts close immediately, pupil requests wait for branch-scoped school review, and retained school records are never deleted with the login account. Documented by M11 FRD v2.18.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Leave preview, line-manager approval, leave Field Access, and draft-payslip year-to-date figures share the live business rules. Documented by M12 FRD v2.22.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 Attendance surfaces apply the leave resource's type, date, day, status, and balance decisions. Documented by M15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Family fees show owing and held credit separately and render the pupil's transfer account when card payment is off. Documented by M17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Every enrolled pupil receives a dedicated transfer account, family card collection is optional, and a booked transfer notifies the pupil and linked guardians. Documented by M18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Budget names, coordinates, planned amounts, actuals and variance now follow separate Field Access decisions across lists, details, dashboards and exports. Financial statements and exports follow their section switches; a statutory pack refuses a missing section. The procurement AP reconciliation is governed by a read-only finance report switch; it does not change the ledger posting rules. The chart explains and folds system-managed accounts, allocates safe codes, hand journals use the school's route, and held credit settles only eligible same-branch receivables. Documented by M19 FRD v1.27.</w:t>
      </w:r>
      <w:r/>
      <w:r/>
      <w:r>
        <w:t xml:space="preserve"> Claim line details, claim amounts and supporting receipts follow separate switches on the API, approval card, export and spending dashboard; receipt evidence starts closed.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A debit note and a qualifying adjustment void may apply eligible same-branch held credit without blocking a closed-period void. Documented by M20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v1.10.</w:t>
      </w:r>
      <w:r>
        <w:t xml:space="preserve"> Vendor accounting defaults, active order counts, catalogue prices, contract terms and values, and assessment scores now have explicit field decisions; assessment notes start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v1.23.</w:t>
      </w:r>
      <w:r>
        <w:t xml:space="preserve"> Budget availability and supplier plan summaries omit budget names and figures the reader may not read, while procurement commitments remain independently visible.</w:t>
      </w:r>
      <w:r>
        <w:t xml:space="preserve"> Requisition, RFQ and quotation fields, approval cards, exports and dashboard restatements follow the same Field Access switches; the RFQ budget estimate starts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v1.21.</w:t>
      </w:r>
      <w:r>
        <w:t xml:space="preserve"> Orders, receipts, bills, credit notes and payments carry separate field decisions across reports and alternate endpoints; bill and payment attachments each have one open Read and Write switch.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v1.9.</w:t>
      </w:r>
      <w:r>
        <w:t xml:space="preserve"> Stock quantity, valuation, reorder state and movement values have field decisions, with valuation open by default and derived dashboards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v1.12.</w:t>
      </w:r>
      <w:r>
        <w:t xml:space="preserve"> Procurement export columns for orders, bills, requisitions and vendors follow their source Field Access controls in builder metadata and files.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The pupil portal now has the backend contract for store-app sessions, phone push, version enforcement, account closure, refresh recovery, and transfer-first fees. Documented by M27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The parent portal uses a sliding device session and per-child transfer accounts, with the same store-app delivery, version, closure, and refresh contracts. Documented by M28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The public store-app version policy is validated by core.W002 and remains tenant-independent. Documented by M30 FRD v1.6.1.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pPr>
        <w:pStyle w:val="Heading2"/>
      </w:pPr>
      <w:r>
        <w:t>6.7 25 October 2026 Procurement Field Access Contracts</w:t>
      </w:r>
    </w:p>
    <w:p>
      <w:r>
        <w:t>Area C registers procurement field decisions for stock, sourcing, vendors, contracts, orders, receipts, bills, credits, payments, settings and dashboards. Stock valuation and entered prices start open; RFQ budget estimates and vendor assessment notes start sensitive. The AP reconciliation receives a read-only report switch. Reads, writes, reports, exports, approval cards and local FinPro surfaces apply the source controls. Module states, ownership, priority gaps and the 527 capability entries stay unchanged.</w:t>
      </w:r>
      <w:r>
        <w:t xml:space="preserve"> Finance records only a generic purpose for a goods transfer, leaving stock details on the stock record.</w:t>
      </w:r>
    </w:p>
    <w:p>
      <w:pPr>
        <w:pStyle w:val="Heading1"/>
        <w:keepNext/>
        <w:keepLines/>
        <w:pBdr>
          <w:bottom w:val="single" w:sz="8" w:space="3" w:color="4472C4"/>
        </w:pBdr>
        <w:spacing w:before="80" w:after="80"/>
      </w:pPr>
      <w:r>
        <w:t>6.6 23 to 26 October 2026 Capability Contracts</w:t>
      </w:r>
    </w:p>
    <w:p>
      <w:r>
        <w:t>Leave now has one complete school contract: a direct-manager ladder provisioned without replacing a school's choices, a live working-day preview, subject-based organogram routing, Field Access on every read and approval surface, and attendance views that reveal only allowed leave facts.</w:t>
      </w:r>
    </w:p>
    <w:p>
      <w:r>
        <w:t>Identity now supports store-app origins and parent device sessions, keeps native refresh credentials in the phone keychain, recovers the immediately previous rotated credential inside a two-minute default grace window, and applies one product policy to self-service account closure and school review.</w:t>
      </w:r>
    </w:p>
    <w:p>
      <w:r>
        <w:t>Notifications resolve each school's email name and logo at delivery and send the same push message to browser subscriptions and Firebase phone devices. Account-closure notices and booked family-transfer notices use the same tenant, branch, preference, and Field Access boundaries as their records.</w:t>
      </w:r>
    </w:p>
    <w:p>
      <w:r>
        <w:t>Family fees are transfer-first by default. Owing and held credit are shown separately, each enrolled pupil receives a dedicated transfer account, family card payment is a school-wide option off by default, and invoices, receipts, and portals state which balance and payment method they show.</w:t>
      </w:r>
    </w:p>
    <w:p>
      <w:r>
        <w:t>Finance now explains and folds system-managed accounts, allocates safe account codes, reserves the default chart, routes hand journals through each school's editable route, counts a draft payslip in its own year to date, and applies held credit only to eligible same-branch receivables.</w:t>
      </w:r>
    </w:p>
    <w:p>
      <w:r>
        <w:t>The pupil and parent portals now have the backend contracts for native sign-in, phone push, release-version policy, refresh recovery, account closure, and transfer-first fees. The parent app also has a sliding school-configured device-session length. Store-app release and production evidence remain open.</w:t>
      </w:r>
    </w:p>
    <w:p>
      <w:r>
        <w:t>No module phase, ownership, priority order, or capability count changes. These behaviors deepen existing capability entries, so the tracker remains at 32 modules and 527 capability entries. The seventeen affected FRDs advance independently and reconcile to this MRD.</w:t>
      </w:r>
    </w:p>
    <w:p>
      <w:pPr/>
      <w:r>
        <w:t>Area D adds per-setting Field Access for 71 school settings and the staff leave-group assignment. Vocabulary and display values remain readable while their Write decisions are separate. School settings screens omit hidden values, refuse denied writes and preserve untouched values on partial saves. The school-owned payroll-scope switch sits beside the existing whole-school reach check. These controls deepen existing capabilities; the module count and capability count stay unchanged.</w:t>
      </w:r>
    </w:p>
    <w:p w14:paraId="2959541F" w14:textId="77777777" w:rsidR="00472341" w:rsidRDefault="00000000">
      <w:pPr>
        <w:keepNext/>
        <w:keepLines/>
        <w:pBdr>
          <w:bottom w:val="single" w:sz="8" w:space="3" w:color="4472C4"/>
        </w:pBdr>
        <w:spacing w:before="80" w:after="80"/>
      </w:pPr>
      <w:r>
        <w:t>Area E registers receipt, petty cash, platform issuer profile and entitlement-window Field Access. Alternate reads and writes, customer receipt export columns and filters, dashboard figures, configuration audit snapshots and the central mirror follow those decisions. Module ownership, backend and integration states, priority order and the 527 capability count remain unchanged; these controls deepen existing capabilities. The remaining recorded gaps are separate issuer identity sources, unaudited bank and vendor edits, unregistered GL posting and purchase-order payment-term export sources, and value-bearing service refusals.</w:t>
      </w:r>
      <w:r>
        <w:t xml:space="preserve"> Expense claims add grouped line details, a separate amounts decision and sensitive receipt evidence. The approval card, export and spending dashboard follow those switches. This deepens existing capabilities without changing module ownership, status or the 527 capability count.</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Summary</w:t>
            </w:r>
          </w:p>
        </w:tc>
      </w:tr>
      <w:tblGrid>
        <w:gridCol w:w="1080"/>
        <w:gridCol w:w="1655"/>
        <w:gridCol w:w="7732"/>
      </w:tblGrid>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expense-claim Field Access for claim details, grouped lines, amounts and sensitive receipts across API, approval, export and dashboard paths. Module and capability counts remain unchanged.</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2.117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30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color w:val="FFFFFF"/>
              </w:rPr>
              <w:t>Records Area E receipt, petty cash, issuer profile and entitlement Field Access, plus the affected export, dashboard and audit boundaries. Module and capability counts remain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Area D school settings and staff leave-group Field Access while retaining the existing module and capability counts.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23 to 26 October behavior batch across leave, role-grant state, native and parent sessions, refresh recovery, account closure, school-branded email, Firebase phone push, app-version policy, transfer-first family fees, chart guidance, hand-journal approval, held credit, receipt balances, and draft-payslip year to date. No module phase, ownership, priority order, or capability count changes; the tracker remains at 32 modules and 527 entries. Reconciled to M01 v1.35.1, M03 v1.25, M04 v1.43, M05 v1.13.1, M06 v1.12, M07 v1.28, M08 v1.20, M11 v2.18, M12 v2.22, M15 v1.1, M17 v1.15, M18 v1.20, M19 v1.24, M20 v1.13, M27 v1.2, M28 v1.5, and M30 v1.6.1.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25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C Procurement Field Access registers business field controls and closes report, dashboard, export and approval restatements. Sensitive RFQ budgets and vendor assessment notes start closed. Module states and 527 capability entries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2.115</cp:version>
</cp:coreProperties>
</file>