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1.16</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1.16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feat/record-history on 8b56c22e, with the school and console frontend worktrees, 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v2.86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User row per person per tenant. Email, name, gender, phone, a tenant-local uid, a status, a compatibility branch anchor and an equal additional branch set.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Platform staff may present the random key printed on their ID card in place of an address; it resolves only inside the platform tenant.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account's branch set is a posting fact, not a permission. User.branch is the compatibility anchor and User.additional_branches holds the other equal postings. A null anchor with no additional branches means school-wide. When no active role grant supplies a scope, the full posting set is the fallback; a role grant takes precedence. PostgreSQL triggers enforce the platform boundary from both directions: an account or tenant becoming platform-owned cannot retain a primary or additional branch, and the join table refuses a platform account or another tenant's branch. The original primary-branch triggers come from migration 0009; migration 0014 extends them to the additional set. Branch selection in a role remains an RBAC fact, not an account posting.</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Migration 0009 guards the primary branch on account and tenant writes. Migration 0014 extends both PostgreSQL functions to additional postings and guards inserts or updates on the account-branch join table. The join guard locks the account and tenant rows while checking tenant ownership and refuses platform accounts or a branch owned by another tenant with SQLSTATE 23514. The staff posting service resolves selected branches inside the tenant before writing either account field.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account cannot hold either branch field. A tenant cannot become PLATFORM while one of its accounts holds an additional branch. An account cannot change tenant while its additional branches belong to the old tenant. Another tenant's branch cannot be attached through the join table. The PostgreSQL database guards cover these paths; the application service also resolves every selected branch inside the school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Reset and invitation tokens use different prefixes and salts.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LoginSession stores the refresh token's JTI, the address,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IP address,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2"/>
        <w:keepNext/>
        <w:pBdr>
          <w:bottom w:val="single" w:sz="8" w:space="5" w:color="355B9D"/>
        </w:pBdr>
      </w:pPr>
      <w:r>
        <w:t>FR-023  Read a CX Staff Profile As at an Earlier Day, With Every Field Switched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staff profile must be readable as it stood at the end of an earlier day, and every field on it, the name included, must follow Field Access on every surface that renders the profile: the full profile, the brief colleague view and the staff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 /platform-staff-profiles/&lt;id&gt;/?as_at= rebuilds the profile and its account from vs_history (vs_user.as_at, tracked by vs_user.history) and renders it through the full or brief serializer the live read would choose. platform.staff_profile registers the name, personal, contact, next-of-kin and employment fields beside the payroll bank fields; the account block is StaffProfileAccountSerializer, and the list and brief serializers are declared surfaces carrying the owner rule. UserUpdateSerializer asks the name switches when a CX staff member's name is corrected on somebody else's account. An account is tracked by an allow-list of identity fields, never by exclusion, so no credential reaches the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job title and last name changed on 10 March read the old values as at 5 March; a day before the history starts answers 409 with history_starts; a colleague's brief view and the staff list withhold a field their role may not read; a person always reads their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seat is the one the profile named that day, while the unit, department, division and line manager around it are read from today's organisation, which keeps its own effective-dated history. A photograph replaced since is not shown. Correcting a school account's name is governed by no platform switch.</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AUTH_USER_MODEL. Tenant is PROTECT. The nullable branch is a compatibility anchor, with additional_branches as an equal posting set; neither is an authorization grant. An active role grant supplies scope first, and the full posting set is the fallback only when grants are silent. Email and uid remain tenant-unique. The account keeps its existing tenant/status, tenant/branch and email/status indexes. PostgreSQL triggers guard primary and additional branches against platform ownership and foreign tenants. card_login_id remains a unique random UUID for platform users alone.</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address,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Defined with seventeen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Sign in with an address, or with an ID-card key for platform staff, and the password: exactly one of the two, or 400 on credentials. Optional tenant slug in the body, not read on the card path. A browser Origin must match the first-party allowlist. Returns access and session context, sets the refresh and CSRF cookies, and never returns refresh. AllowAny, throttled per IP address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sign-in naming both an address and a card key, or neither</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vs_user ran 381 tests OK at 6611856, whose vs_user code is identical to this document's baseline and which contains every change recorded here; the suite was not run again for this revision. The client evidence is unchanged from v1.10: the migrated school client passed 46 focused auth tests and its production build, and its source and production bundle contain neither js-cookie nor refresh-token identifiers.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seventeen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 past CX staff view reads the organisation around the seat from today</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Compose the unit, department, division and line manager from PositionAssignment's effective dates, so a restructured organisation reads as it stood.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FR-023</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v2.85 records Module 3 as Identity, Team &amp; Organogram, Phase V1, Backend Partial, In use Complete, code ownership vs_user, with eighteen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 staff profile read as at an earlier date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FR-018, FR-023</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The profile and account read as they stood; the organisation around the seat reads as it stands.</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v2.86 lists Module 3 as Backend Partial and In use Complete with nineteen capabilities. The ID-card sign-in entry maps to FR-008; the flow existed without a tracker entry, and the random card key and card sign-in make it a capability of its own. Reading a platform staff profile as at an earlier date is a new entry, mapped to FR-023.</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lockout, retention, audit-model and organogram gaps remain.</w:t>
              <w:br/>
              <w:t>• Backend evidence only. Neither document claims deployment, production adoption, or data migration completion.</w:t>
              <w:br/>
              <w:t>• Equal account postings extend the existing tenant and account boundary. They do not add a capability or change the module's Backend Partial and In use Complete states.</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1.16</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26 September 2026</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Adds FR-023: a CX staff profile reads as at the end of an earlier day, and every field on it, the name included, follows Field Access on the full profile, the brief colleague view and the staff list, with the account block switched as its own surface and name corrections on another person's account asking the same switch. One Needs Attention row and one traceability row join. The change log's header is restored. Verified by the full backend suite, every app run on its own: 6207 tests, all passing, 22 of them the history engine's own; and driven against the running app.</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1.15</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24 September 2026</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Records equal account postings as a full fallback branch set and the PostgreSQL guard on additional branch rows. Platform accounts and cross-tenant branches are refused even through direct join-table writes. Module 3 remains Backend Partial and In use Complete, with eighteen capability entries.</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v1.16</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v1.16</dc:title>
  <cp:lastModifiedBy>Chidera Ohiaekpete</cp:lastModifiedBy>
  <cp:revision>1</cp:revision>
  <cp:lastPrinted>2026-07-17T18:03:00Z</cp:lastPrinted>
  <dcterms:created xsi:type="dcterms:W3CDTF">2026-07-17T18:03:00Z</dcterms:created>
  <dcterms:modified xsi:type="dcterms:W3CDTF">2026-08-19T12:00:00Z</dcterms:modified>
  <cp:version>1.16</cp:version>
</cp:coreProperties>
</file>