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2.86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feat/record-history on 8b56c22e, with the school and console frontend worktrees, 26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v2.86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Record history and person-record Field Access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19</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Documented by M12 FRD v2.9.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v2.86 Capability Delta</w:t>
      </w:r>
    </w:p>
    <w:p w14:paraId="4C4A5E5A" w14:textId="77777777" w:rsidR="00472341" w:rsidRDefault="00000000">
      <w:pPr>
        <w:spacing w:after="100" w:line="240" w:lineRule="auto" w:before="0"/>
      </w:pPr>
      <w:r>
        <w:rPr>
          <w:rFonts w:ascii="Aptos Narrow" w:hAnsi="Aptos Narrow"/>
          <w:b w:val="0"/>
          <w:color w:val="000000"/>
          <w:sz w:val="18"/>
        </w:rPr>
        <w:t>A staff posting is an equal set of selected branches or school-wide. The legacy branch column anchors older callers, while the full set drives the roster and the account fallback. A role is independently school-wide or configured for selected branches. Assigning it once inherits all selected branches; changing a posting never changes a role grant. Branch references are checked inside the tenant before writes, and database guards keep platform accounts and foreign branches out of account postings. Modules 3, 4 and 12 retain their existing capability counts and status because these rules extend their recorded account, role and posting capabilities.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v2.86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 history</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Kept for person records</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tracked row gains a version on create, change and delete, including through update and the bulk writes; a baseline dates each existing record's history from the day it ran.</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 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date parameter on every profile read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Student, guardian, staff and CX staff profiles and their tabs answer as at the end of a day, in the live shape, with Field Access applied; an earlier day than the history is refused, never guessed.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Person-record Field Access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record, the name included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Name, personal, contact, employment and photograph fields are registered open by default; full_name is rebuilt from readable parts on every surface.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Guardian names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Held in parts, reviewed when split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Existing one-line names are split and flagged, kept as typed until a person confirms the parts.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Still to register</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Master data fields</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Customer, vendor, vendor contact, bank account, school profile and branch fields wait on a FinPro release and on the settings screens.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revised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M03 v1.16, M04 v1.26, M05 v1.5, M11 v2.11, M12 v2.9.</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blGrid>
        <w:gridCol w:w="1080"/>
        <w:gridCol w:w="1655"/>
        <w:gridCol w:w="7732"/>
      </w:tblGrid>
      <w:tr>
        <w:trPr>
          <w:tblHeader w:val="true"/>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val="0"/>
                <w:color w:val="000000"/>
                <w:sz w:val="16"/>
              </w:rPr>
              <w:t>2.86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val="0"/>
                <w:color w:val="000000"/>
                <w:sz w:val="16"/>
              </w:rPr>
              <w:t>26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val="0"/>
                <w:color w:val="000000"/>
                <w:sz w:val="16"/>
              </w:rP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2.85</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24 September 2026</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2.84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v2.86</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2.86</cp:version>
</cp:coreProperties>
</file>