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Documentation change reconciling Module 6 to its first Functional Requirements Document, and moving that module's accumulated detail out of the tracker and into it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v2.72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 6 reconciled to its first FRD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v1.0.</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Five current gaps are recorded in the FRD rather than here. The first is the shape of the module rather than an oversight: a setting a school ought to own for itself has no route, and one would have to be introduced deliberately.</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0" w:before="0" w:line="240" w:lineRule="auto"/>
              <w:jc w:val="left"/>
            </w:pPr>
            <w:r>
              <w:rPr>
                <w:rFonts w:ascii="Aptos Narrow" w:hAnsi="Aptos Narrow"/>
                <w:b w:val="0"/>
                <w:color w:val="000000"/>
                <w:sz w:val="16"/>
              </w:rPr>
              <w:t>CURRENT DECISION</w:t>
              <w:br/>
              <w:t>• New export runs use short XR-&lt;tenant_id&gt;&lt;YYMMDD&gt;&lt;n&gt; references from the shared locked tenant sequence. The counter is unpadded and restarts for each tenant and day; the tenant id and date keep the full reference globally unique.</w:t>
              <w:br/>
              <w:t>• Counter allocation and run insertion share one transaction, so a rejected run does not consume a reference. Existing RUN- values remain unchanged.</w:t>
              <w:b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br/>
              <w:t>• Every school reaches this module in full. The export engine was gated on the data_export band at Plus, so a school on the cheapest plan could read a screen and not take it away. The band is now Core: the catalogue, saved definitions, runs, files, schedules and the activity log answer to every plan. What still governs an export is the reader's role and the field-level rules on sensitive columns, which is a different question and unchanged.</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v2.72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no capability and changes no status. It gives Module 6 the same shape every other documented module has: a tracker entry that says where the module stands, and an FRD that says how it behaves.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v2.72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6's decision box</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Rewritten as current state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 bullets, each narrating one past revision, replaced by what is true now plus the facts that cross module boundaries. The detail they carried is in M06 FRD v1.0, which states it as testable requirements rather than as history.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6 traceability</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Reconciled to M06 FRD v1.0</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All twenty-six capability entries map to one of the FRD's twenty-two requirements. The count, the module status and the integration status are unchanged.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6's current gaps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in the FRD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Five, the first being that every configuration key is platform-scoped, so a setting a school ought to own for itself has no route. None is a defect, so none is added to Priority Gaps.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v2.72</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v2.72</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2.72</cp:version>
</cp:coreProperties>
</file>