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2.33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at 373a918 plus the notification ownership migration (26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453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v2.33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Notification records owned by the recipient, and the originating tenant kept separately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15</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t>Event-driven in-app and email delivery. A record is owned by the tenant of the recipient who reads it, and the tenant an event is about is kept separately as its origin, so a school's support ticket notified to platform staff never enters the school's own delivery history.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OPay, or another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226B592A" w14:textId="77777777" w:rsidR="00472341" w:rsidRDefault="00000000">
            <w:pPr>
              <w:spacing w:after="20"/>
              <w:ind w:left="86" w:hanging="86"/>
            </w:pPr>
            <w:r>
              <w:rPr>
                <w:sz w:val="16"/>
              </w:rPr>
              <w:t>• Every payout, including POST /payouts/, enters approval as a batch. No creation or direct-submit route calls the provider.</w:t>
            </w:r>
          </w:p>
          <w:p w14:paraId="226B592A" w14:textId="77777777" w:rsidR="00472341" w:rsidRDefault="00000000">
            <w:pPr>
              <w:spacing w:after="20"/>
              <w:ind w:left="86" w:hanging="86"/>
            </w:pPr>
            <w:r>
              <w:rPr>
                <w:sz w:val="16"/>
              </w:rPr>
              <w:t>• Low-value batches need one checker; a batch at or above N500,000 needs a distinct senior checker. Payouts cannot continue without a human approval.</w:t>
            </w:r>
          </w:p>
          <w:p w14:paraId="226B592A" w14:textId="77777777" w:rsidR="00472341" w:rsidRDefault="00000000">
            <w:pPr>
              <w:spacing w:after="20"/>
              <w:ind w:left="86" w:hanging="86"/>
            </w:pPr>
            <w:r>
              <w:rPr>
                <w:sz w:val="16"/>
              </w:rP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v2.33 Documentation Delta</w:t>
      </w:r>
    </w:p>
    <w:p w14:paraId="4C4A5E5A" w14:textId="77777777" w:rsidR="00472341" w:rsidRDefault="00000000">
      <w:pPr>
        <w:spacing w:after="100" w:line="240" w:lineRule="auto" w:before="0"/>
      </w:pPr>
      <w:r>
        <w:t>This revision gives every notification record to the tenant that reads it. It records ownership following the recipient, the originating tenant kept separately and exposed nowhere, channel settings resolved per owning tenant, and a reversible migration for the records already written. Modules 8 and 31 keep their backend and integration states.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v2.33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notification was owned by the tenant an event was about, not the recipient's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Ownership is the recipient's own tenant. A ticket dispatched to platform triage staff writes the agent's rows under the platform tenant, so the agent's own in-app feed shows them for the first time.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delivery history returned messages addressed to platform staff</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history log is scoped to the rows the caller's tenant owns, so the body of an internal ticket note written for platform support is no longer readable by an administrator at the school that raised the ticket. A migration moves the records already written and reverses cleanly.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tenant's channel preferences decided what another tenant's staff received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Recipients are grouped by owning tenant and each group resolves its own settings, so a school muting an event silences it for its own people only.</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and the engine's auto-skip default is now inverted, so a template published without setting it parks rather than passing a request through unapproved.</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v2.30</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2.28</cp:version>
</cp:coreProperties>
</file>