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Prepared by:  CodeX Team        Version:  2.19</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2.19</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18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Backend main at ff94c26 (18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439</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after="0" w:before="0" w:line="240" w:lineRule="auto"/>
              <w:jc w:val="left"/>
            </w:pPr>
            <w:r>
              <w:rPr>
                <w:rFonts w:ascii="Aptos Narrow" w:hAnsi="Aptos Narrow"/>
                <w:b/>
                <w:color w:val="355B9D"/>
                <w:sz w:val="17"/>
              </w:rPr>
              <w:t>5. v2.19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rPr>
                <w:rFonts w:ascii="Aptos Narrow" w:hAnsi="Aptos Narrow"/>
                <w:b w:val="0"/>
                <w:color w:val="000000"/>
                <w:sz w:val="17"/>
              </w:rPr>
              <w:t>A non-blocking audit write, two newly audited school writes, and three Module 1 capabilities</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Billing, adjustments, accounting, and fixed assets are consolidated in vs_finance.</w:t>
            </w:r>
          </w:p>
          <w:p w14:paraId="2D0FC336" w14:textId="77777777" w:rsidR="00472341" w:rsidRDefault="00000000">
            <w:pPr>
              <w:spacing w:after="20"/>
              <w:ind w:left="86" w:hanging="86"/>
            </w:pPr>
            <w:r>
              <w:rPr>
                <w:sz w:val="16"/>
              </w:rPr>
              <w:t>• Collections, payouts, provider webhooks, and settlement services are in vs_payments.</w:t>
            </w:r>
          </w:p>
          <w:p w14:paraId="50C0B56C" w14:textId="77777777" w:rsidR="00472341" w:rsidRDefault="00000000">
            <w:pPr>
              <w:spacing w:after="20"/>
              <w:ind w:left="86" w:hanging="86"/>
            </w:pPr>
            <w:r>
              <w:rPr>
                <w:sz w:val="16"/>
              </w:rPr>
              <w:t>• Vendor, sourcing, purchase-to-pay, and stock services are consolidated in vs_procurement.</w:t>
            </w:r>
          </w:p>
          <w:p w14:paraId="0BFCE307"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p w14:paraId="7F9E4181" w14:textId="77777777" w:rsidR="00472341" w:rsidRDefault="00000000">
            <w:pPr>
              <w:spacing w:after="20"/>
              <w:ind w:left="86" w:hanging="86"/>
            </w:pPr>
            <w:r>
              <w:rPr>
                <w:sz w:val="16"/>
              </w:rPr>
              <w:t>• The Django admin site is not installed. Administration is done through the console over the API, and the test suite runs on PostgreSQL like every other environment.</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vs_onboarding, vs_admin_console, vs_user, vs_rbac, vs_audit, vs_config, vs_notifications, vs_import_data, vs_workflow, vs_finance, vs_procurement, vs_payments, vs_exports, vs_todo, vs_tickets, and vs_health. The schools product carries vs_schools and vs_onboarding under apps/schools/.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17</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14</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15</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12</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20</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19</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24</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14</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19</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13</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campus administration. The current backend supports creation, listing, editing, statistics, package setup, primary administrators, and branch lifecycle operations. The main-branch designation is handed over rather than stranded, a school's sign-in address is governed and frozen once the school has been live, and school and branch writes emit audit evidence.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School set of books provisioned at creation</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Mandatory main branch at school creation</w:t>
            </w:r>
          </w:p>
        </w:tc>
      </w:tr>
      <w:tr w:rsidR="00472341" w14:paraId="08C2C455" w14:textId="77777777">
        <w:trPr>
          <w:cantSplit/>
          <w:jc w:val="center"/>
        </w:trPr>
        <w:tc>
          <w:tcPr>
            <w:tcW w:w="5126" w:type="dxa"/>
            <w:shd w:val="clear" w:color="auto" w:fill="F2F5FA"/>
            <w:tcMar>
              <w:top w:w="70" w:type="dxa"/>
              <w:left w:w="90" w:type="dxa"/>
              <w:bottom w:w="70" w:type="dxa"/>
              <w:right w:w="90" w:type="dxa"/>
            </w:tcMar>
            <w:vAlign w:val="center"/>
          </w:tcPr>
          <w:p w14:paraId="19C65549" w14:textId="77777777" w:rsidR="00472341" w:rsidRDefault="00000000">
            <w:pPr>
              <w:spacing w:after="0"/>
            </w:pPr>
            <w:r>
              <w:rPr>
                <w:color w:val="000000"/>
                <w:sz w:val="16"/>
              </w:rPr>
              <w:t>▸  Main-branch handover and in-service guarantee</w:t>
            </w:r>
          </w:p>
        </w:tc>
        <w:tc>
          <w:tcPr>
            <w:tcW w:w="5126" w:type="dxa"/>
            <w:gridSpan w:val="2"/>
            <w:shd w:val="clear" w:color="auto" w:fill="F2F5FA"/>
            <w:tcMar>
              <w:top w:w="70" w:type="dxa"/>
              <w:left w:w="90" w:type="dxa"/>
              <w:bottom w:w="70" w:type="dxa"/>
              <w:right w:w="90" w:type="dxa"/>
            </w:tcMar>
            <w:vAlign w:val="center"/>
          </w:tcPr>
          <w:p w14:paraId="68C28059" w14:textId="77777777" w:rsidR="00472341" w:rsidRDefault="00000000">
            <w:pPr>
              <w:spacing w:after="0"/>
            </w:pPr>
            <w:r>
              <w:rPr>
                <w:color w:val="000000"/>
                <w:sz w:val="16"/>
              </w:rPr>
              <w:t>▸  School sign-in address governance and go-live freeze</w:t>
            </w:r>
          </w:p>
          <w:p w14:paraId="68C28059" w14:textId="77777777" w:rsidR="00472341" w:rsidRDefault="00000000">
            <w:pPr>
              <w:spacing w:after="0"/>
            </w:pPr>
            <w:r>
              <w:rPr>
                <w:color w:val="000000"/>
                <w:sz w:val="16"/>
              </w:rPr>
              <w:t>▸  School and branch audit evidence</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School lifecycle is still incomplete. An abandoned onboarding now suspends the school and platform staff can return it to onboarding, but there is no operator suspend, reactivate or recoverable soft delete for commercial reasons, and no defined session effect.</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Authentication, invitations, account security, sessions, platform staff, and organization-position structures.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p w14:paraId="06A753C5" w14:textId="77777777" w:rsidR="00472341" w:rsidRDefault="00000000">
            <w:pPr>
              <w:spacing w:after="0"/>
            </w:pPr>
            <w:r>
              <w:rPr>
                <w:color w:val="000000"/>
                <w:sz w:val="16"/>
              </w:rPr>
              <w:t>▸  Pending-tenant surface gate</w:t>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Searchable platform and tenant audit evidence with subject trails, compliance rules, and export jobs. The shared logging service writes inside its own savepoint, so a failed audit row can never mark a caller's transaction for rollback and take the business change down with 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CURRENT DECISION</w:t>
            </w:r>
          </w:p>
          <w:p w14:paraId="21361CAF" w14:textId="77777777" w:rsidR="00472341" w:rsidRDefault="00000000">
            <w:pPr>
              <w:spacing w:after="20"/>
              <w:ind w:left="86" w:hanging="86"/>
            </w:pPr>
            <w:r>
              <w:rPr>
                <w:sz w:val="16"/>
              </w:rPr>
              <w:t>• No material capability gap was identified within this module's stated backend scope.</w:t>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p w14:paraId="7CDC09B0" w14:textId="77777777" w:rsidR="00472341" w:rsidRDefault="00000000">
            <w:pPr>
              <w:spacing w:after="0"/>
            </w:pPr>
            <w:r>
              <w:rPr>
                <w:color w:val="000000"/>
                <w:sz w:val="16"/>
              </w:rPr>
              <w:t>▸  Approval-requirement predicate shared with domain gates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Console-managed email HTML</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Standard layout with per-template override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Live template preview with sample data</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Template creation from the console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Unread-first inbox ordering</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Server-side notification search</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p w14:paraId="45C638E1" w14:textId="77777777" w:rsidR="00472341" w:rsidRDefault="00000000">
            <w:pPr>
              <w:spacing w:after="20"/>
              <w:ind w:left="86" w:hanging="86"/>
            </w:pPr>
            <w:r>
              <w:rPr>
                <w:sz w:val="16"/>
              </w:rPr>
              <w:t>• A template whose HTML is edited by hand stops inheriting later design changes until it is reset to the standard layout.</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Backend: Complete</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Code: schools/vs_onboarding; vs_tenants; vs_rbac; vs_notifications; vs_audit</w:t>
            </w:r>
          </w:p>
        </w:tc>
      </w:tr>
    </w:tbl>
    <w:p w14:paraId="277CB719" w14:textId="77777777" w:rsidR="00472341" w:rsidRDefault="00000000">
      <w:pPr>
        <w:spacing w:line="252" w:lineRule="auto"/>
      </w:pPr>
      <w:r>
        <w:rPr>
          <w:color w:val="000000"/>
          <w:sz w:val="17"/>
        </w:rPr>
        <w:t>The onboarding tracker and the go-live gate, built as a module of its own. A school that is not yet live signs in, works a checklist, asks to be activated and is activated by platform staff; a school that abandons the process is warned, expires, and can be put back by hand.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Onboarding checklist and task catalogue</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Machine-checked task completion</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Readiness evaluation from a single authority</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Go-live request and review workflow</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School activation</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Activation failure rollback and correlation reference</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access for a school that is not yet live</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Per-view pending-tenant surface allowlist</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Control room state, counts and blockers</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Go-live request history and pagination</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Abandoned-onboarding expiry sweep</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Expiry warning to the school</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Stale-onboarding report for platform operators</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Manual reinstatement of a suspended school</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Go-live history retention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audit events</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notification events</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permission keys and role defaults</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context on a support ticket</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No academic structure module exists, so one required checklist step has no backend to check against and completes on the school's word. It is the single thing that stops a school reaching readiness unaided.</w:t>
            </w:r>
          </w:p>
          <w:p w14:paraId="38D7D122" w14:textId="77777777" w:rsidR="00472341" w:rsidRDefault="00000000">
            <w:pPr>
              <w:spacing w:after="20"/>
              <w:ind w:left="86" w:hanging="86"/>
            </w:pPr>
            <w:r>
              <w:rPr>
                <w:sz w:val="16"/>
              </w:rPr>
              <w:t>• The finance abstraction layer does not exist, so this module speaks to finance in tenant and entity terms only.</w:t>
            </w:r>
          </w:p>
          <w:p w14:paraId="38D7D122" w14:textId="77777777" w:rsidR="00472341" w:rsidRDefault="00000000">
            <w:pPr>
              <w:spacing w:after="20"/>
              <w:ind w:left="86" w:hanging="86"/>
            </w:pPr>
            <w:r>
              <w:rPr>
                <w:sz w:val="16"/>
              </w:rPr>
              <w:t>• Notification templates are a deploy precondition: where one is missing, dispatch logs a warning and skips the channel, so a message never arrives and nothing fails.</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published when a tenant's books are created and never auto-skip, so the gate over the highest-risk cash-out path is on from onboarding rather than from a remembered command.</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p w14:paraId="513F1F56" w14:textId="77777777" w:rsidR="00472341" w:rsidRDefault="00000000">
            <w:pPr>
              <w:spacing w:after="0"/>
            </w:pPr>
            <w:r>
              <w:rPr>
                <w:color w:val="000000"/>
                <w:sz w:val="16"/>
              </w:rPr>
              <w:t>▸  One-call books provisioning service</w:t>
            </w:r>
          </w:p>
          <w:p w14:paraId="513F1F56" w14:textId="77777777" w:rsidR="00472341" w:rsidRDefault="00000000">
            <w:pPr>
              <w:spacing w:after="0"/>
            </w:pPr>
            <w:r>
              <w:rPr>
                <w:color w:val="000000"/>
                <w:sz w:val="16"/>
              </w:rPr>
              <w:t>▸  One primary set of books per tenant</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A period close now runs the payables checks a dependent app registers, so it can no longer seal a period over an unreconciled AP position while reporting success.</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p w14:paraId="6F00AAE0" w14:textId="77777777" w:rsidR="00472341" w:rsidRDefault="00000000">
            <w:pPr>
              <w:spacing w:after="0"/>
            </w:pPr>
            <w:r>
              <w:rPr>
                <w:color w:val="000000"/>
                <w:sz w:val="16"/>
              </w:rPr>
              <w:t>▸  Approval requirement exposed on adjustment reads</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Refunds and write-offs are gated by a published ladder at any size. A concession or credit note is gated only at or above the configurable threshold, and that threshold now decides: below it the adjustment posts on one person's permission, which is the intended trade for small goodwill.</w:t>
            </w:r>
          </w:p>
          <w:p w14:paraId="338F07E7" w14:textId="77777777" w:rsidR="00472341" w:rsidRDefault="00000000">
            <w:pPr>
              <w:spacing w:after="20"/>
              <w:ind w:left="86" w:hanging="86"/>
            </w:pPr>
            <w:r>
              <w:rPr>
                <w:sz w:val="16"/>
              </w:rPr>
              <w:t>• The threshold is one figure per tenant across both types, so a concession and a credit note cannot yet be gated at different sizes.</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and are now published when a tenant's books are created rather than by a command somebody has to remember.</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p w14:paraId="605D1215" w14:textId="77777777" w:rsidR="00472341" w:rsidRDefault="00472341">
            <w:pPr>
              <w:spacing w:after="0"/>
            </w:pPr>
            <w:r>
              <w:t>▸  Supplier invoice attachments</w:t>
            </w:r>
          </w:p>
          <w:p w14:paraId="605D1215" w14:textId="77777777" w:rsidR="00472341" w:rsidRDefault="00472341">
            <w:pPr>
              <w:spacing w:after="0"/>
            </w:pPr>
            <w:r>
              <w:t>▸  Vendor payment receipt attachments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p w14:paraId="6774FE06" w14:textId="77777777" w:rsidR="00472341" w:rsidRDefault="00000000">
            <w:pPr>
              <w:spacing w:after="0"/>
            </w:pPr>
            <w:r>
              <w:rPr>
                <w:color w:val="000000"/>
                <w:sz w:val="16"/>
              </w:rPr>
              <w:t>▸  Stock locations and per-location balances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Stock is now held per location rather than as one pool per entity, so a campus can no longer issue against stock standing at another and each store carries its own average cost. A school with one store is unaffected: the single location is created with its books and never has to be named.</w:t>
            </w:r>
          </w:p>
          <w:p w14:paraId="2B1BA648" w14:textId="77777777" w:rsidR="00472341" w:rsidRDefault="00000000">
            <w:pPr>
              <w:spacing w:after="20"/>
              <w:ind w:left="86" w:hanging="86"/>
            </w:pPr>
            <w:r>
              <w:rPr>
                <w:sz w:val="16"/>
              </w:rPr>
              <w:t>• History predating the change sits at each entity's default location, and there is no transfer document, so moving stock between stores has to be recorded as an issue and a receipt.</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and privacy-safe product context for guide-to-support handoff.</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p>
            <w:pPr/>
            <w:r>
              <w:t>▸  Module-registered ticket context vocabularies</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operator suspend, reactivate and recoverable soft delete, and define session, authentication and downstream-record behaviour. An abandoned onboarding now suspends a school and platform staff can return it, so what is missing is the commercial lifecycle rather than all of it.</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Academic structure behind onboarding</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The onboarding checklist, readiness, go-live gate and expiry window are built. One required step has no backend to check against, so a school completes it on its word; building Module 13 is what closes it.</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M13</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Scope procurement documents, approvals and reporting to the correct branch where required. Stock locations are done: a location may belong to a campus, and a goods receipt lands at the receiving campus's store.</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v2.19 Documentation Delta</w:t>
      </w:r>
    </w:p>
    <w:p w14:paraId="4C4A5E5A" w14:textId="77777777" w:rsidR="00472341" w:rsidRDefault="00000000">
      <w:pPr>
        <w:spacing w:after="100" w:line="240" w:lineRule="auto" w:before="0"/>
      </w:pPr>
      <w:r>
        <w:t>This revision records that an audit failure can no longer take down the business change it was describing, that school update and configuration reset are audited at last, and that Module 1 has been running three capabilities this document did not list. Module numbering, the status model and every module's backend and integration state are unchanged. Module 1 moves from 14 capability entries to 17, and the document moves from 436 to 439 entries.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v2.19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audit row failing could destroy the change it described</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emit_audit_event promised in its own docstring never to block business logic and caught its exceptions accordingly, but its INSERT ran inside the caller's transaction with no savepoint. A database error there marks the whole enclosing transaction for rollback, so the caller carried on believing all was well and its own legitimate write was refused at commit. That applied platform-wide: every school and branch update, every school creation and every onboarding effect. The writes now run in their own atomic block, so a failure rolls back to a savepoint and stops at the audit row. Proved with a real SQL error rather than a mocked Python one, which would have passed either way.</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Two school writes left no record of who made them</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update and school configuration reset each read an actor and never used it. A school could move its slug, which is the host every one of its users signs in at, with no record of who moved it or what it was before, and a super administrator could delete a school's branding with no record at all. Both now emit before and after evidence. A slug move carries WARNING severity and a written summary naming both addresses, because the event explorer searches the summary rather than the JSON snapshots. The "system" default on the actor was removed rather than kept: the actor column is a foreign key, a string raises inside a helper that swallows its own failures, and a defaulted actor therefore produced no event at all.</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1 was running three capabilities this document did not list</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Corrected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main-branch handover and the guarantee that its holder stays in service, the governance and go-live freeze of a school's sign-in address, and the module's own school and branch audit evidence were all in the code and none of them were here. M01 FRD v1.7 recorded the first two as having no MRD entry; the third had never been traced at all. Module 1 moves from 14 capability entries to 17 and the document from 436 to 439. Module 1 remains Backend Partial and Integration Partial: school lifecycle control is what holds it there and is unchanged.</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Finish what onboarding cannot yet check</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The checklist, readiness, the go-live gate and the onboarding window are built and a school can run them itself. One required step has no backend behind it, so Academic Structure is what gives onboarding its last machine-checkable condition.</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the audit write unable to destroy what it describes, and audited two school writes that had never been recorded. emit_audit_event promised in its own docstring never to block business logic and caught its exceptions accordingly, but its INSERT ran inside the caller's transaction with no savepoint: a database error there marks the whole enclosing transaction for rollback, and the caller's own legitimate write was then refused at commit. Every school and branch update, every school creation and every onboarding effect on the platform carried that risk, and the writes now run in their own atomic block. With that made true, school update and school configuration reset emit the before and after evidence they never emitted, and a slug move - which changes the host every one of a school's users signs in at - carries WARNING severity and a summary naming both addresses. The "system" default on the actor was removed, because the actor column is a foreign key and a string raises inside a helper that swallows its own failures, so a defaulted actor produced no event at all rather than a system-attributed one. Module 5 keeps its 12 capability entries and its clean bill: the shared logging service was already listed, and what changed is that it now honours the contract it had published. Module 1 gains three entries it had been running unlisted - the main-branch handover and in-service guarantee, school sign-in address governance and the go-live freeze, and school and branch audit evidence - taking it from 14 to 17 and the document from 436 to 439 entries. Module 1 stays Backend Partial and Integration Partial, because school lifecycle control is what holds it there and is unchanged. No module status,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Removed the stored branch flag and the onboarding step that depended on it. School.operates_branches recorded whether a school ran more than one site and could disagree with the branch rows it described; it is now counted from them instead and has left the school create, update and detail payloads. A branch is required at school creation, so a school can no longer be created with nowhere to put a user, a document or a record, and a school created with one branch has it promoted to main. That made the branch checklist step unreachable, because it would have arrived already satisfied for every school: it is removed from the catalogue, which now runs seven steps, and a migration deletes the rows that carried it rather than leave behind a required step no condition could clear. Module 9 falls from 20 capability entries to 19 and Module 1 exchanges its branch-operating declaration for the mandatory main branch, taking the document from 437 to 436 entries.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Recorded School Onboarding as a delivered module rather than a set of side effects of school creation. A school that is not yet live signs in and reaches an onboarding surface and nothing else, refused per view and closed by default; works a checklist whose steps are machine-checked wherever a backend exists; asks to go live; and is activated by platform staff in one transaction that writes the school, the tenant, the readiness row and the request together or not at all. An abandoned onboarding is warned at seventy-six days and suspended at ninety, with a fortnightly operator list and a manual way back. Books now arrive with the school instead of through a platform-only endpoint, closing the money bridge onboarding depended on, and a tenant may keep only one primary set of them. A required checklist step can no longer be skipped, which reverses the rule the module's specification carried. Module 9 moves to Backend Complete and Integration Partial with 20 capability entries; Modules 1, 4, 19 and 31 gain the capabilities this work added to them, and the document moves from 419 to 437 entries. What remains for Module 9 is the academic structure module, which is the only required step the platform still cannot check, and the finance abstraction layer.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Moved the email design into the database. An email template was a subject, a body and, for five of them, a hand-written HTML document; the rest went out as plain text, and none of it could be seen or changed outside the code. A template is now plain text plus an optional button, one shared layout composes the visual, and the composed markup is stored on the template with its placeholders intact, so the console can show and edit exactly what will be delivered. A template follows the platform design until somebody edits its markup, and can be reset to it. Preview renders the stored markup with generated sample values and accepts unsaved edits, so an author sees the real message as they type. Three defects closed with it: values substituted into markup were not escaped, notification search never reached the server so page counts described the unsearched list, and records sharing a dispatch timestamp could repeat or vanish between pages. The inbox now opens on unread. Module 8 gains six capabilities, taking the document from 413 to 419 entries, and gains its first FRD. The Django admin site and its thirteen unused registration modules were removed, and the test suite moved from SQLite to PostgreSQL with eager Celery.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vendor bills and vendor payments somewhere to keep the counterparty's paper. A recurring charge captured without a purchase order previously left no trail beyond a reference string. Attachments are accepted after posting, because the supplier's invoice usually follows the booked charge and a receipt always follows the payment, and uploading is a separate permission from editing the document's amounts. The three separate upload checks across the platform became one, which also closed two defects: an unsupported expense-claim receipt returned a server error rather than a validation message, and a ticket attachment's stored content type was taken from the uploader's declaration rather than its bytes, so markup declared as an image was served back inline. Module 23 gains two capability entries, and Module 31's stale index count is corrected from eleven to twelve.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the adjustment threshold decide. A concession or credit note was gated at every amount, so the threshold this document has described since v2.12 never took effect and a small goodwill allowance could not reach the ledger by any route. The direct-post gate now asks whether any stage of the resolved template would apply rather than whether a template exists, the seeded ladder carries the threshold on its first stage as well as its senior one, and a migration repairs ladders published before the change. Gate and engine now resolve templates through one function, which also corrected the gate's handling of a switched-off template and of the template code. Adjustment reads carry the approval requirement so a client need not reimplement the scope cascade.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stock its location dimension. Stock had been one pool per entity, so a school with two campuses held one balance and one average cost per item and an issue at one campus could draw against stock standing at the other, because the availability check measured the entity total. A stock location is now a first-class record with an optional campus, balances are held per item and location, and availability, valuation and the movement history are all measured there. Each location carries its own weighted average, while the item totals remain as the roll-up so entity valuation and the inventory-account reconciliation are unchanged. A goods receipt lands at the receiving campus's store. Single-store schools are unaffected: a default location is created with the books and a call that names none resolves to it, but where an entity has more than one, an unnamed movement is refused rather than defaulted. A migration opens a MAIN location, balances and back-stamped movements for existing tenants. Module 24 gains one capability, taking the total from 407 to 408, its needs-attention item narrows to the migrated history and the missing transfer document, and the M22-M24 branch-scoping gap narrows to procurement documents.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XVS Module Requirements Document v2.17</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v2.17</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2026-08-11T12:00:00Z</dcterms:modified>
  <cp:version>2.17</cp:version>
</cp:coreProperties>
</file>