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27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implementing permission, module, resource, action and group liveness across evaluation, overrides and permission-based routing (27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v2.38,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v2.38's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TenantRoleTemplate: a tenant's own role, optionally narrowed to one branch, with direct grants, explicit denies, and attached groups.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TenantRoleChangeRequest and its delta items, dependency validation, requester-reviewer separation, reviewer grant ceiling, and atomic apply.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RBACAuditLog, written transactionally with the change, then mirrored best-effort into Module 5.</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 The verb list is extended by seed_actions rather than by a code enum: view_all was added on 26 August 2026 for reads that cross tenant boundaries, so "may read" and "may read everyone's" are separate keys rather than one key with a hidden scope.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writing; GroupPermission and TenantRoleGroup reject restricted membership; UserPermissionOverride rejects restricted ALLOW; and assignment, replace, account creation, and draft submission enforce the actor's restricted-key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It runs on direct role create and update through the serializer, and again on the change-request apply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resolve_users_with_permission starts from the same _live_permission_q used by evaluation. It collects only ACTIVE roles that grant the live key directly or through an active group, subtracts explicit role denies, and resolves active assignments through the same _assignment_branch_q the gate uses. Personal ALLOW holders are added and DENY holders removed, while legacy restricted ALLOW rows are ignored. For a non-platform tenant it first checks that the key is TENANT-scoped and returns an empty queryset otherwise.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routed audience and the audience the gate admits agree for direct grants, group grants, branch-pinned grants and personal exceptions. Deactivating the permission, its module, resource or action, the granting group, or the role removes the person from routing as well as authorization.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validates dependencies, replaces direct grants atomically, bumps role.version, marks approval only after the grants succeed, and writes the before-and-after audit. The queue, detail, and decision routes require school.roles.approve or platform.roles.approve rather than the update key. Platform reviewers may assert the target tenant for this review surface; ordinary cross-tenant access remains closed.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record_rbac_audit writes an RBACAuditLog row first and raises on failure, so the caller's transaction rolls back with it; it then mirrors the event best-effort into Module 5 for the platform-wide activity view. RBACAuditLog is append-only in the ORM: save() raises if the row already has a primary key, and delete() always raises. It resolves the real actor through resolve_audit_identity and adds proxy metadata, so an action taken under impersonation names the person who actually took it. signals.py attaches receivers across the permission vocabulary, the registry, groups, roles, group attachments, assignments and change requests.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changing or lifting an override, changing a role's permissions, and assigning or revoking a role all leave a durable row.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rows are read-only and seeded by CodeX. provision_role_from_prebuilt creates a TenantRoleTemplate for the tenant and copies the defaults into TenantRolePermission rows; the prebuilt row is never modified. A branch-scoped provisioning suffixes the key and name with the branch, so several branches can each hold their own copy without colliding with the per-tenant uniqueness constraints. Provisioned roles are marked is_system_role and is_locked. create_role_from_suggestion is the tenant-initiated variant and refuses a name the tenant already uses, naming the clash. PrebuiltRolePermission carries its own scope guard, because a default attached there is copied into every school that adopts it and a platform key would be a fleet-wide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Three templates are seeded: school_admin, branch_admin and teacher. Adoption is idempotent through get_or_create, and copying uses bulk_create with ignore_conflicts.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that lets a separate reviewer hold the approval key and the restricted permissions they may grant. The platform seeder additionally registers platform.tasks.view, platform.tasks.view_all and platform.tasks.view_sensitive, withholding the latter two from xvs_platform_admin in the same way it withholds the Super Admin handoff: both read other people's data rather than operate the product.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seeders are the boundary's real authors, and nothing tests that every registered key carries a scope. Migration 0007 classified the 344 / 40 split that existed on 19 August 2026; a key added since is correct only because its seeder was written correctly. The platform.tasks.* family added on 26 August 2026 is the first whose scope, sensitivity and uneven role grants are asserted by a test of their own; every other key is still correct only because its seeder was.</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(tenant, key) and (tenant, name). Carries status, is_system_role, is_locked and a version bumped on approved change.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permission). granted=False is an explicit deny. Restricted granted=True is valid only as the stored result of approved change or trusted system-role bootstrap; direct serializers refuse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Checks declared scope and effective membership before attachment, and refuses any group containing a restricted key.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catalogue. Reading accepts school.roles.view, platform.roles.view or workflow.template.manage; creating takes school.roles.create or platform.roles.create.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role, including permission_keys and group_ids.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pPr>
      <w:r>
        <w:t xml:space="preserve">•  bulk_create specifically, not only save(), because that is how the role serializers write and it bypasses save() and clean().</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v2.38 records Module 4 as Roles &amp; Permissions (RBAC), Phase V1, Backend Complete, Integration Complete, code vs_rbac, with seventeen capability entries. The module number, name, phase, states and ownership are taken from that document and agree with this revision.</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hierarchy is also the runtime shutdown hierarchy: permission, module, resource and action must all be active.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Fifteen school groups exist,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Ordinary changes remain direct;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Durable and append-only, with the central trail as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 Approval keys are seeded as restricted, system roles provide bootstrap, and group seeders remove restricted members; scope classification still relies on seeder correctness.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v2.38 lists Module 4 as Complete with seventeen capability entries, all traced above. Permission liveness strengthens the existing permission-registry, group and entity-aware evaluation capabilities without adding a new product surface or changing the count.</w:t>
              <w:br/>
              <w:t>• The deactivation gap recorded in FRD v1.4 is closed across direct roles, groups, personal overrides, permission-based routing and warm evaluator caches, so it is removed rather than carried forward.</w:t>
              <w:br/>
              <w:t>• What remains is recorded in Needs Attention, including assignment expiry, two unnarrowed read surfaces, advisory branch reach, the generic platform-decision declaration, prebuilt scope, scope-registration verification and privileged MFA.</w:t>
              <w:br/>
              <w:t>• No other divergence was found between MRD v2.38's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v1.5</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v1.5</dc:title>
  <cp:lastModifiedBy>Chidera Ohiaekpete</cp:lastModifiedBy>
  <cp:revision>1</cp:revision>
  <cp:lastPrinted>2026-07-17T18:03:00Z</cp:lastPrinted>
  <dcterms:created xsi:type="dcterms:W3CDTF">2026-07-17T18:03:00Z</dcterms:created>
  <dcterms:modified xsi:type="dcterms:W3CDTF">2026-08-19T12:00:00Z</dcterms:modified>
  <cp:version>1.5</cp:version>
  <dc:subject>Module 4: Roles &amp; Permissions (RBAC)</dc:subject>
  <cp:category>Functional Requirements Document</cp:category>
  <dc:description>Code-aligned functional baseline traced from apps/vs_rbac at 899cfd7.</dc:description>
</cp:coreProperties>
</file>