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Prepared by:  CodeX Team        Version:  2.38</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2.38</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27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worktree with live permission evaluation and durable emergency revocation cache invalidation (27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484</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v2.38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Permission shutdown now withdraws authority and routing</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vs_admin_console, vs_user, vs_rbac, vs_audit, vs_config, vs_notifications, vs_import_data, vs_workflow, vs_finance, vs_procurement, vs_payments, vs_exports, vs_todo, vs_tickets, and vs_health. The schools product carries vs_schools and vs_onboarding under apps/schools/.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13</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16</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15</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12</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21</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24</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t>15</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branch administration. The current backend supports creation, listing, editing, statistics, package setup, primary administrators, and branch lifecycle operations.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p w14:paraId="68C28059" w14:textId="77777777" w:rsidR="00472341" w:rsidRDefault="00000000">
            <w:pPr>
              <w:spacing w:after="0"/>
            </w:pPr>
            <w:r>
              <w:rPr>
                <w:color w:val="000000"/>
                <w:sz w:val="16"/>
              </w:rPr>
              <w:t>▸  Authorised, expiring access to school branding files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Account creation now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t>Event-driven in-app and email delivery. A record is owned by the tenant of the recipient who reads it, and the tenant an event is about is kept separately as its origin, so a school's support ticket notified to platform staff never enters the school's own delivery history.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 xml:space="preserve">The onboarding tracker and the go-live gate, built as a module of its own. A school that is not yet live signs in, works a checklist, asks to be activated and is activated by platform staff; a school that abandons the process is warned, expires, and can be put back by hand.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The academic structure module exists and is mounted, so the required checklist step it was blocking now has a backend to check against. Versions 2.9 to 2.36 carried the older claim after it had stopped being true.</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Two of the ten capabilities above are not evidenced and are why this module is Partial rather than Complete. Effective-dated structure changes: no model carries an effective_from, so a mid-year rename rewrites history rather than superseding it. And the class-subject-teacher assignment layer, which M13 FRD v2.5 withdrew deliberately - the teacher half has no permission key of its own and waits for Module 12, which leaves the timetable slot as the first and only place a person is bound to a subject. Academics-specific bulk import is also unbuilt.</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OPay, or another provider is called.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226B592A" w14:textId="77777777" w:rsidR="00472341" w:rsidRDefault="00000000">
            <w:pPr>
              <w:spacing w:after="20"/>
              <w:ind w:left="86" w:hanging="86"/>
            </w:pPr>
            <w:r>
              <w:rPr>
                <w:sz w:val="16"/>
              </w:rPr>
              <w:t>• Every payout, including POST /payouts/, enters approval as a batch. No creation or direct-submit route calls the provider.</w:t>
            </w:r>
          </w:p>
          <w:p w14:paraId="226B592A" w14:textId="77777777" w:rsidR="00472341" w:rsidRDefault="00000000">
            <w:pPr>
              <w:spacing w:after="20"/>
              <w:ind w:left="86" w:hanging="86"/>
            </w:pPr>
            <w:r>
              <w:rPr>
                <w:sz w:val="16"/>
              </w:rPr>
              <w:t>• Low-value batches need one checker; a batch at or above N500,000 needs a distinct senior checker. Payouts cannot continue without a human approval.</w:t>
            </w:r>
          </w:p>
          <w:p w14:paraId="226B592A" w14:textId="77777777" w:rsidR="00472341" w:rsidRDefault="00000000">
            <w:pPr>
              <w:spacing w:after="20"/>
              <w:ind w:left="86" w:hanging="86"/>
            </w:pPr>
            <w:r>
              <w:rPr>
                <w:sz w:val="16"/>
              </w:rPr>
              <w:t>• The destination comes from a verified, active vendor master. Bank changes reset KYC and the live master is rechecked at dispatch.</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v2.38 Documentation Delta</w:t>
      </w:r>
    </w:p>
    <w:p w14:paraId="4C4A5E5A" w14:textId="77777777" w:rsidR="00472341" w:rsidRDefault="00000000">
      <w:pPr>
        <w:spacing w:after="100" w:line="240" w:lineRule="auto" w:before="0"/>
      </w:pPr>
      <w:r>
        <w:rPr>
          <w:rFonts w:ascii="Aptos Narrow" w:hAnsi="Aptos Narrow"/>
          <w:b w:val="0"/>
          <w:color w:val="000000"/>
          <w:sz w:val="18"/>
        </w:rPr>
        <w:t>This revision closes the gap between deactivating permission vocabulary and actually withdrawing the authority and routing that vocabulary conferred.</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v2.38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Permission hierarchy liveness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Permission, module, resource and action active states are all required before any direct grant or personal override can confer authority.</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Permission-group liveness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 inactive PermissionGroup contributes no keys. A separate direct grant of the same live key remains effective.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Routing agreement</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Permission-based routing uses the same live predicate, refuses inactive roles and ignores legacy restricted ALLOW overrides.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Emergency cache invalidation</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Added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PostgreSQL-backed registry revision invalidates warm effective-permission snapshots in every application worker after the change commits.</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fail closed, and the engine's auto-skip default is now inverted, so a template published without setting it parks rather than passing a request through unapproved.</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and Staff Management before dependent modules. Academic Structure is built and Timetable &amp; Calendar now stands on it; Staff Management is the one that most limits what Timetable can check, because a teacher is currently a role grant rather than a person with hours, a specialism and a qualification.</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Document-only patch. Retired the word campus from the text describing current behaviour, in favour of branch. Campus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campuses held one balance and one average cost per item and an issue at one campus could draw against stock standing at the other, because the availability check measured the entity total. A stock location is now a first-class record with an optional campus,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campus's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v2.38</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v2.38</dc:title>
  <dc:subject>31-module code-aligned capability tracker</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2.38</cp:version>
</cp:coreProperties>
</file>