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1.2</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1.2</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15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c971596 plus the uncommitted upload-validation change (15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v2.15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arrive through the registry in FR-017 rather than being imported, keeping the dependency one-way. Reopen and lock are separate, permissioned actions, and a forced close is audited as forced.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can still be forced past a blocking failure. That is a deliberate break-glass and the audit message says so, but it is a way past every check on this list.</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Posting a claim debits the expenses and any recoverable input VAT and credits accrued reimbursement; settling debits accrued reimbursement and credits bank. Claims can also be rejected or voided, and line receipts attached. A receipt is validated before it reaches storage - extension, size, and the leading bytes agreeing with the extension - through the checker shared with the other upload endpoints on the platform.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A receipt URL is a capability rather than an object-level authorisation: the media endpoint authenticates the caller but cannot authorise per file, so a URL that escapes the people allowed to see the claim stays fetchable. Receipts stored before unguessable naming keep their old predictable names.</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ledger must never be readable or writable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endpoint resolves the entity from the request and filters on it, and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FR-017 Let a Dependent App Contribute a Close Check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close must be able to run checks this module cannot write, without this module importing the app that owns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register_close_check takes a callable invoked as (entity, period) returning a checklist item, an iterable of them, or nothing. Procurement registers its AP and GR/IR reconciliations from its own startup, the same inversion the workflow handlers and export datasets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registered check that raises is reported as a failed blocking item rather than escaping or vanishing: a check that cannot answer is not a check that passed. Registration is idempotent, so a module imported twice does not double the check.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replaced an extra_checks argument that only a test ever passed, so until now every close in the product ran without the payables checks and could seal a period over an unreconciled AP position while reporting success.</w:t>
            </w:r>
          </w:p>
        </w:tc>
      </w:tr>
    </w:tbl>
    <w:p w:rsidR="00A62A3E" w:rsidRDefault="00000000">
      <w:pPr>
        <w:spacing w:after="0"/>
      </w:pPr>
    </w:p>
    <w:p w:rsidR="00A62A3E" w:rsidRDefault="00000000">
      <w:pPr>
        <w:pStyle w:val="Heading2"/>
        <w:keepNext/>
        <w:pBdr>
          <w:bottom w:val="single" w:sz="8" w:space="5" w:color="355B9D"/>
        </w:pBdr>
      </w:pPr>
      <w:r>
        <w:t>FR-018 Provision What the Books Depend 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 tenant's books must also create the controls over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register_entity_provisioner runs registered callables inside the transaction that creates a ledger entity, alongside the currencies, chart of accounts and fiscal periods. Finance, procurement and payments each register their own approval ladders.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that raises rolls the entity back rather than leaving books without their gates, and provisioners are idempotent so a second entity in one tenant finds the earlier work and leaves it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Attaching an unsupported, empty, oversized, or mislabelled 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Refused with a field error. Previously this reached the storage layer and answered with a server error instead.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CLOSE NOW RUNS THE PAYABLES CHECKS</w:t>
            </w:r>
          </w:p>
          <w:p w:rsidR="00A62A3E" w:rsidRDefault="00000000">
            <w:pPr>
              <w:spacing w:after="20"/>
              <w:ind w:left="86" w:hanging="86"/>
            </w:pPr>
            <w:r>
              <w:rPr>
                <w:sz w:val="16"/>
              </w:rPr>
              <w:t xml:space="preserve">• The AP and GR/IR reconciliations used to reach the close only through an argument no production caller ever passed, so every close ran without them. They are now registered (FR-017) and run on every close.</w:t>
            </w:r>
          </w:p>
          <w:p w:rsidR="00A62A3E" w:rsidRDefault="00000000">
            <w:pPr>
              <w:spacing w:after="20"/>
              <w:ind w:left="86" w:hanging="86"/>
            </w:pPr>
            <w:r>
              <w:rPr>
                <w:sz w:val="16"/>
              </w:rPr>
              <w:t xml:space="preserve">• What remains is force. A blocking failure can still be overridden, which is a legitimate break-glass and is recorded as one in the audit message, but it is a route past every check the close makes.</w:t>
            </w:r>
          </w:p>
          <w:p w:rsidR="00A62A3E" w:rsidRDefault="00000000">
            <w:pPr>
              <w:spacing w:after="20"/>
              <w:ind w:left="86" w:hanging="86"/>
            </w:pPr>
            <w:r>
              <w:rPr>
                <w:sz w:val="16"/>
              </w:rPr>
              <w:t xml:space="preserve">• Required completion: decide whether forcing a close should need a permission of its own rather than a flag on the request.</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22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Registered close checks from dependent apps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 FR-018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Corrected FR-008's upload contract. An expense-claim line receipt was stored with no validation of any kind, so an unsupported or oversized file was refused only by the storage layer, which answers with a server error rather than a field error, and nothing ever checked that a file's contents matched its extension. Receipts now go through the checker shared with the platform's other upload endpoints. Records the capability-URL boundary on receipt files as a current limit, and updates traceability to MRD v2.15.</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close-check registry and the entity provisioning seam (FR-017, FR-018). The AP and GR/IR reconciliations previously reached a close only through an argument nothing in the product passed, so every close ran without them; Section 9's open risk narrows to the force flag that remains.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