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2.15</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Current backend worktree at c971596 plus the uncommitted vendor-document attachment change (15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413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v2.15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The supplier's paper now sits with the bill</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22</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The finance, procurement and payout ladders are now published with a tenant's books; what remains is the checklist and the go-live states around them.</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v2.15 Documentation Delta</w:t>
      </w:r>
    </w:p>
    <w:p w14:paraId="4C4A5E5A" w14:textId="77777777" w:rsidR="00472341" w:rsidRDefault="00000000">
      <w:pPr>
        <w:spacing w:after="100" w:line="240" w:lineRule="auto" w:before="0"/>
      </w:pPr>
      <w:r>
        <w:t>This revision records that a supplier's own paperwork can now be kept with the document it belongs to. Module numbering and the status model are unchanged; Module 23 gains two capabilities, a stale Module 31 count is corrected, and the document moves from 410 to 413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v2.15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 recurring charge left no paper trail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 bill captured without a purchase order recorded the supplier only as a reference typed into a field. Nothing held their actual invoice, and nothing held the receipt they issued after payment, so neither an auditor nor the person who paid could follow the entry back to its source. Both documents now carry their own attachments.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Evidence is accepted after posting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Decided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The formal invoice usually follows the booked charge and a receipt always follows the payment, so refusing an upload once the document is posted would reject exactly the paperwork worth keeping. No lifecycle state blocks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Filing paper is its own authority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Uploading uses a new attach permission rather than the document's update verb. Update is refused on a posted document, and rewriting a bill's amounts is not the same authority as filing its 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Upload checking was three implementations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Unified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The vendor portal checked file signatures, support tickets checked extension and size, and the expense-claim receipt endpoint checked nothing, so an oversized or unsupported receipt returned a server error. All now use one checker, which each caller configures with its own size ceiling.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Module 31's index count was stale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Reconciled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Its grid has carried twelve capabilities since v2.11, when two were added and the count was raised by one. Every other module reconciles; this one now does too, taking the document to 413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 ticket attachment could name its own type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The stored content type came from the upload's declaration rather than its bytes, and the download view serves that value back inline for anything marked as an image. Markup declared as an image could therefore run in the next reader's session. The stored type is now derived from the file itself.</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The per-tenant approval seeds and role provisioning now run when a tenant's books are created.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