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2.46</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2.46</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29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6"/>
              </w:rPr>
              <w:t>Backend worktree and focused vs_exports verification: 15 ExportRun tests and 9 branch-scope tests passed. The wider fail-fast run stopped after 38 tests on the unrelated uncommitted school.students dataset, which has no locked column (29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468</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v2.46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Short, deterministic export-run references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carries no URLs.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16</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25</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22</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The academic structure module exists and is mounted, so the required checklist step it was blocking now has a backend to check against. Versions 2.9 to 2.36 carried the older claim after it had stopped being true.</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The academic half of this is now built and the student half is not. A fee structure can be tied to a real session and term, and a cohort can be billed from a list of students, both through the finance abstraction layer. A term that fee structures still bill cannot be deleted. What remains is the student side: there is no student or guardian model, so a child's billing record must still be created with a name supplied by the caller, and class-based billing waits on Module 11.</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Integration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Integration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v2.46 Capability Delta</w:t>
      </w:r>
    </w:p>
    <w:p w14:paraId="4C4A5E5A" w14:textId="77777777" w:rsidR="00472341" w:rsidRDefault="00000000">
      <w:pPr>
        <w:spacing w:after="100" w:line="240" w:lineRule="auto" w:before="0"/>
      </w:pPr>
      <w:r>
        <w:rPr>
          <w:rFonts w:ascii="Aptos Narrow" w:hAnsi="Aptos Narrow"/>
          <w:b w:val="0"/>
          <w:color w:val="000000"/>
          <w:sz w:val="18"/>
        </w:rPr>
        <w:t>This revision removes random collision risk from the human-facing export-run reference while keeping the identifier short. It reuses the platform numbering service already shared by tickets and financial documents rather than introducing a second sequence system.</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v2.46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color w:val="FFFFFF"/>
                <w:sz w:val="16"/>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Export-run references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Sequenced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New runs use XR-&lt;tenant_id&gt;&lt;YYMMDD&gt;&lt;n&gt; from TenantDocumentSequence instead of a six-character random value. Existing RUN- references are preserved.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Concurrent allocation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Locked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shared allocator locks one tenant, code, and date counter. Tenant id, date, and the unpadded counter make each generated reference globally unique.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Failed creation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Rolled back</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Counter allocation and ExportRun insertion share one transaction, so a rejected run leaves the next valid number available rather than burning it.</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payout routing now has an automatic platform fallback and a release check that names any uncovered entity.</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and Staff Management before dependent modules.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v2.46</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v2.46</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2.46</cp:version>
</cp:coreProperties>
</file>