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18: Payments &amp; Collections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25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at 178f172 plus approved payout hardening worktree (25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v2.32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payout-approver and payout-senior-approver roles named by the stages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initiate_collection creates a CollectionIntent with a generated reference, the entity's currency, and the requested channel, then asks the provider to collect. The intent carries the customer or invoice it is attributed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intent's reference is unique per entity and is what every later provider message is matched against. An intent in a terminal state is never re-driven.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duplicated or replayed confirmation finds the intent already terminal and books nothing further. The gateway record and the ledger document reference each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calls back out to the provider to confirm the transaction before booking. A deposit the provider will not confirm books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forged or mistaken event that survives signature checking still cannot book, because the provider is asked directly and disagreement stops the booking.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tenant created before payout-template provisioning must be seeded before requests can enter approval; it cannot fall back to direct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dispatches only after validating the exact approved instance and locked batch integrity.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before any provider call.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registered with finance's entity provisioning publishes this tenant's payout ladder inside the transaction that creates its books. Registration happens in this app's startup, so finance imports nothing from payments and the dependency still runs one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checker and senior roles are created without holders, so each applicable stage parks until an administrator appoints one. Re-provisioning leaves tenant customization intact.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Tenants created before automatic provisioning need seed_payout_approvals once. Until then payout submission returns TEMPLATE_NOT_FOUND and sends no money.</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moves to PROCESSING only after the provider accepts at least one instruction, and derives its terminal state from its children.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and OPay, plus a fake provider used to drive the real adapters against recorded payloads in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seed_payments_permissions registers the keys; seed_payout_approvals publishes the approval ladder.</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 longer optional by route. Every single or bulk payout enters Module 7 and only the terminal callback may ask the provider to transfer.</w:t>
            </w:r>
          </w:p>
          <w:p w:rsidR="00A62A3E" w:rsidRDefault="00000000">
            <w:pPr>
              <w:spacing w:after="20"/>
              <w:ind w:left="86" w:hanging="86"/>
            </w:pPr>
            <w:r>
              <w:rPr>
                <w:sz w:val="16"/>
              </w:rPr>
              <w:t>• Tenants created before automatic template provisioning must run seed_payout_approvals once. Until then payout submission is unavailable, not ungated.</w:t>
            </w:r>
          </w:p>
          <w:p w:rsidR="00A62A3E" w:rsidRDefault="00000000">
            <w:pPr>
              <w:spacing w:after="20"/>
              <w:ind w:left="86" w:hanging="86"/>
            </w:pPr>
            <w:r>
              <w:rPr>
                <w:sz w:val="16"/>
              </w:rPr>
              <w:t>• The default threshold is N500,000: one checker below it, and a distinct senior checker at or above it.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depends on a worker. With none running, events are stored and acknowledged but never booked, and the digest is the only thing that would say so.</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21 capability entries in MRD v2.32.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OPay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creation and mandatory approval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