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25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at 178f172 plus approved payout hardening worktree (25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v2.32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field-level protection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Contact, tax, bank name, bank code, account name, and account number are protected by field-level RBAC on serialization and mutation. Read and write use the same sensitive policy.</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Categories must be reorganisable without changing what past documents said.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record must carry the governed destination needed to trade and to pay, with every payable field protected.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Sensitive fields are gated on read and write. Model-level normalization protects non-API saves, and a bank-field change resets KYC to PENDING.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without the sensitive key neither sees nor can change bank detail. A bank change cannot remain VERIFIED in the same save. Payments use the current vendor master as the destination and reject caller-supplied values that do not match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must not be onboardable twice, even by two people at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under investigation must be stoppable without deleting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should get sensible line defaults without those defaults later rewriting an issued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lifecycle transitions must be consistent wherever they are triggered from.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term agreement should be visible as expiring before it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Performance must be recordable as evidence, not as a mutable opinion.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Assessments are point-in-time scorecards, list and create only, with no edit path. Viewing rides the reporting key because it feeds the vendor performance report; recording one needs its own dedicated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realised spend and payment position per vendor, not just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Vendor insight, category insight, catalogue usage insight, the vendor spend analysis and the vendor performance report are served as entity-scoped reads over the AP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a supplier ahead of their invoice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and KYC.</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Sensitive fields gated on read and write; bank changes reset KYC.</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and the field-level policy over contacts, tax and bank detail.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spacing w:after="120"/>
      </w:pPr>
      <w:r>
        <w:t>Module 21 carries 13 capability entries in MRD v2.32.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