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2.32</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at 178f172 plus approved payout hardening worktree (25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452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v2.32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Mandatory payout approval, verified beneficiaries, and replay safety</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226B592A" w14:textId="77777777" w:rsidR="00472341" w:rsidRDefault="00000000">
            <w:pPr>
              <w:spacing w:after="20"/>
              <w:ind w:left="86" w:hanging="86"/>
            </w:pPr>
            <w:r>
              <w:rPr>
                <w:sz w:val="16"/>
              </w:rPr>
              <w:t>• Every payout, including POST /payouts/, enters approval as a batch. No creation or direct-submit route calls the provider.</w:t>
            </w:r>
          </w:p>
          <w:p w14:paraId="226B592A" w14:textId="77777777" w:rsidR="00472341" w:rsidRDefault="00000000">
            <w:pPr>
              <w:spacing w:after="20"/>
              <w:ind w:left="86" w:hanging="86"/>
            </w:pPr>
            <w:r>
              <w:rPr>
                <w:sz w:val="16"/>
              </w:rPr>
              <w:t>• Low-value batches need one checker; a batch at or above N500,000 needs a distinct senior checker. Payouts cannot continue without a human approval.</w:t>
            </w:r>
          </w:p>
          <w:p w14:paraId="226B592A" w14:textId="77777777" w:rsidR="00472341" w:rsidRDefault="00000000">
            <w:pPr>
              <w:spacing w:after="20"/>
              <w:ind w:left="86" w:hanging="86"/>
            </w:pPr>
            <w:r>
              <w:rPr>
                <w:sz w:val="16"/>
              </w:rP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v2.32 Documentation Delta</w:t>
      </w:r>
    </w:p>
    <w:p w14:paraId="4C4A5E5A" w14:textId="77777777" w:rsidR="00472341" w:rsidRDefault="00000000">
      <w:pPr>
        <w:spacing w:after="100" w:line="240" w:lineRule="auto" w:before="0"/>
      </w:pPr>
      <w:r>
        <w:t>This revision removes every direct payout cash-out path. It records mandatory batch approval for single and bulk payouts, a second distinct approver for high-value batches, verified vendor destinations, request idempotency, and payout-specific refusal of continue-without-approval. Modules 7, 18, and 21 keep their backend and integration states.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v2.32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Single and bulk payout routes could call the provider without a checker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payout is a batch workflow. Standalone dispatch and direct batch submission refuse; missing templates fail closed; only the terminal workflow callback may reach the provider.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approval covered every payout amount and parked payouts could be self-released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Strengthened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default ladder is checker plus conditional senior checker at N500,000. The provider boundary requires distinct human actors and the payout handler forbids continue-without-approval.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Caller-supplied bank detail and retries were not bound to governed state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Bound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destination comes from a verified vendor master, changes reset KYC, dispatch revalidates it, and entity-scoped idempotency keys plus request fingerprints make retries safe.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and the engine's auto-skip default is now inverted, so a template published without setting it parks rather than passing a request through unapproved.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