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&amp; Invoicing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M17 | Billing &amp; Invoicing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29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efc71d5 (29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v2.45 | Module 17</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future student and guardian domains. Nothing here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other side of that neutrality is Section 9: nothing yet links a customer to a student.</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fee structure holds fee items as a template. Generation materialises one invoice per selected customer and posts each through the ordinary receivables path, so it raises the usual journal and appears everywhere invoices already do. A structure can also be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second, quieter way for a fee structure to become money owed: generation is the only one, and it uses the same posting service as a hand-raised invoice.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Selection of customers is supplied by the caller; the module has no rule about who should be billed, because that rule belongs to a domain it does not know.</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debits bank or cash and credits the receivable control. Allocation across invoices happens afterwards as a sub-ledger act with no further ledger effect, and can be revisited.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Reallocating does not re-post, so correcting which invoice a receipt settles never disturbs the general ledger. Voiding is a separate, permissioned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Document builders turn a posted invoice or payment into a flat context for standalone print templates. Issuer identity comes from the entity's originating school, and the pay-to bank is the entity's primary collection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dunning policy is a ladder of stages keyed to days overdue. Generation scans open invoices and raises a notice at the highest stage each one qualifies for, idempotent per invoice and level. The notice lifecycle runs pending, sent, cancelled or resolved.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Re-running never re-issues a reminder already sent at that rung. Dunning is a communications overlay and touches no ledger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Aging, the AR reconciliation against the control account, customer statements, and invoice and payment summaries are served as entity-scoped reads. Historical as-of receivables reconstruct balances at a requested date from dated allocations.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as-of view is reconstructed from dated allocations rather than current state, so a question about last month's position is answered with last month's facts.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and then calls the same fees.generate_invoices that FR-002 describes, so there is still one way a fee structure becomes money owed.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A repeated run bills nobody twice and reports who was skipped. A student with no AR customer stops the run instead of being dropped from it silently, which is how a school under-bills and never finds 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student's first billing record must be created with a name the caller passes in, because no student model exists to read one from.</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Becomes money owed only through generation.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customer's receipt document.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Bulk-raise posted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notices for everything overdue.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and the cohort billing entry point, and is the only way a school module reaches this one. It holds the school vocabulary so this module does not have 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 confirmed gateway collection as a payment here.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THE ENGINE STILL HAS NOBODY TO BILL</w:t>
            </w:r>
          </w:p>
          <w:p w:rsidR="00A62A3E" w:rsidRDefault="00000000">
            <w:pPr>
              <w:spacing w:after="20"/>
              <w:ind w:left="86" w:hanging="86"/>
            </w:pPr>
            <w:r>
              <w:rPr>
                <w:sz w:val="16"/>
              </w:rPr>
              <w:t>• The academic half of this is closed. A fee structure can name a real session and term, and a cohort can be billed against it, both through the finance abstraction layer.</w:t>
            </w:r>
          </w:p>
          <w:p w:rsidR="00A62A3E" w:rsidRDefault="00000000">
            <w:pPr>
              <w:spacing w:after="20"/>
              <w:ind w:left="86" w:hanging="86"/>
            </w:pPr>
            <w:r>
              <w:rPr>
                <w:sz w:val="16"/>
              </w:rPr>
              <w:t>• The student half is not. Nothing connects a customer to a student, a guardian or a class, so who to bill is still a decision made outside the platform and handed to a run as a list.</w:t>
            </w:r>
          </w:p>
          <w:p w:rsidR="00A62A3E" w:rsidRDefault="00000000">
            <w:pPr>
              <w:spacing w:after="20"/>
              <w:ind w:left="86" w:hanging="86"/>
            </w:pPr>
            <w:r>
              <w:rPr>
                <w:sz w:val="16"/>
              </w:rPr>
              <w:t>• Required completion: connect billing customers to the student, guardian and class domains once they exist. Tracked against Modules 11 to 16 and 17.</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xml:space="preserve">• A payment plan measures progress from one linked invoice's settlement, so a payment allocated to a different invoice does not advance the plan.</w:t>
            </w:r>
          </w:p>
          <w:p w:rsidR="00A62A3E" w:rsidRDefault="00000000">
            <w:pPr>
              <w:spacing w:after="20"/>
              <w:ind w:left="86" w:hanging="86"/>
            </w:pPr>
            <w:r>
              <w:rPr>
                <w:sz w:val="16"/>
              </w:rPr>
              <w:t xml:space="preserve">• The module holds no rule about who should be billed, by design. That means a bulk run bills exactly the selection it is given, and a wrong selection is not detectable here.</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16 capability entries in MRD v2.45.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