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26E81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1E522F89"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1AA1E3BE" w14:textId="77777777" w:rsidR="00A62A3E" w:rsidRDefault="00000000">
            <w:pPr>
              <w:spacing w:after="140"/>
            </w:pPr>
            <w:r>
              <w:rPr>
                <w:rFonts w:ascii="Aptos Display" w:hAnsi="Aptos Display"/>
                <w:b/>
                <w:color w:val="FFFFFF"/>
                <w:sz w:val="40"/>
              </w:rPr>
              <w:t>FUNCTIONAL REQUIREMENTS DOCUMENT</w:t>
              <w:br/>
              <w:t>Module 18: Payments &amp; Collections</w:t>
              <w:br/>
              <w:br/>
              <w:t>XVision Systems | Code-aligned functional baseline</w:t>
              <w:br/>
              <w:br/>
              <w:t>Prepared by: CodeX Team</w:t>
              <w:br/>
              <w:t>Version: 1.4</w:t>
            </w:r>
          </w:p>
        </w:tc>
      </w:tr>
    </w:tbl>
    <w:p w14:paraId="51F662A0" w14:textId="77777777" w:rsidR="00A62A3E" w:rsidRDefault="00000000">
      <w:pPr>
        <w:spacing w:after="160"/>
      </w:pPr>
      <w:r>
        <w:rPr>
          <w:rFonts w:ascii="Aptos Display" w:hAnsi="Aptos Display"/>
          <w:b/>
          <w:color w:val="355B9D"/>
          <w:sz w:val="52"/>
        </w:rPr>
        <w:t>2026</w:t>
      </w:r>
    </w:p>
    <w:p w14:paraId="74327561" w14:textId="77777777" w:rsidR="00A62A3E" w:rsidRDefault="00000000">
      <w:pPr>
        <w:spacing w:after="100"/>
      </w:pPr>
      <w:r>
        <w:rPr>
          <w:color w:val="5E6B7A"/>
        </w:rPr>
        <w:t>Internal Documentation</w:t>
      </w:r>
    </w:p>
    <w:p w14:paraId="4ECE0199" w14:textId="77777777" w:rsidR="00A62A3E" w:rsidRDefault="00000000">
      <w:r>
        <w:br w:type="page"/>
      </w:r>
    </w:p>
    <w:p w14:paraId="5020320F"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708756AF"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7E2D3D5E"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9829C6" w14:textId="77777777" w:rsidR="00A62A3E" w:rsidRDefault="00000000">
            <w:pPr>
              <w:spacing w:after="0"/>
            </w:pPr>
            <w:r>
              <w:rPr>
                <w:color w:val="000000"/>
                <w:sz w:val="17"/>
              </w:rPr>
              <w:t>Functional Requirements Document (FRD)</w:t>
            </w:r>
          </w:p>
        </w:tc>
      </w:tr>
      <w:tr w:rsidR="00A62A3E" w14:paraId="1CB7431C"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157BE7"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3EF7DA" w14:textId="77777777" w:rsidR="00A62A3E" w:rsidRDefault="00000000">
            <w:pPr>
              <w:spacing w:after="0"/>
            </w:pPr>
            <w:r>
              <w:rPr>
                <w:color w:val="000000"/>
                <w:sz w:val="17"/>
              </w:rPr>
              <w:t>M18 | Payments &amp; Collections</w:t>
            </w:r>
          </w:p>
        </w:tc>
      </w:tr>
      <w:tr w:rsidR="00A62A3E" w14:paraId="4A6C5C17"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D9645A4"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8FA6E75" w14:textId="77777777" w:rsidR="00A62A3E" w:rsidRDefault="00000000">
            <w:pPr>
              <w:spacing w:after="0"/>
            </w:pPr>
            <w:r>
              <w:rPr>
                <w:color w:val="000000"/>
                <w:sz w:val="17"/>
              </w:rPr>
              <w:t>1.4</w:t>
            </w:r>
          </w:p>
        </w:tc>
      </w:tr>
      <w:tr w:rsidR="00A62A3E" w14:paraId="04BF5F76"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A15B32D"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879080" w14:textId="77777777" w:rsidR="00A62A3E" w:rsidRDefault="00000000">
            <w:pPr>
              <w:spacing w:after="0"/>
            </w:pPr>
            <w:r>
              <w:rPr>
                <w:color w:val="000000"/>
                <w:sz w:val="17"/>
              </w:rPr>
              <w:t>29 August 2026</w:t>
            </w:r>
          </w:p>
        </w:tc>
      </w:tr>
      <w:tr w:rsidR="00A62A3E" w14:paraId="07F4B091"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CBDE6FE"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536FCB" w14:textId="77777777" w:rsidR="00A62A3E" w:rsidRDefault="00000000">
            <w:pPr>
              <w:spacing w:after="0"/>
            </w:pPr>
            <w:r>
              <w:rPr>
                <w:color w:val="000000"/>
                <w:sz w:val="17"/>
              </w:rPr>
              <w:t>efc71d5 (29 August 2026)</w:t>
            </w:r>
          </w:p>
        </w:tc>
      </w:tr>
      <w:tr w:rsidR="00A62A3E" w14:paraId="002FA76B"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1265AC7"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7575A9" w14:textId="77777777" w:rsidR="00A62A3E" w:rsidRDefault="00000000">
            <w:pPr>
              <w:spacing w:after="0"/>
            </w:pPr>
            <w:r>
              <w:rPr>
                <w:color w:val="000000"/>
                <w:sz w:val="17"/>
              </w:rPr>
              <w:t>XVS Module Requirements Document v2.45 | Module 18</w:t>
            </w:r>
          </w:p>
        </w:tc>
      </w:tr>
      <w:tr w:rsidR="00A62A3E" w14:paraId="568E0EB5"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F36713D"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A301F0" w14:textId="77777777" w:rsidR="00A62A3E" w:rsidRDefault="00000000">
            <w:pPr>
              <w:spacing w:after="0"/>
            </w:pPr>
            <w:r>
              <w:rPr>
                <w:color w:val="000000"/>
                <w:sz w:val="17"/>
              </w:rPr>
              <w:t>vs_payments</w:t>
            </w:r>
          </w:p>
        </w:tc>
      </w:tr>
      <w:tr w:rsidR="00A62A3E" w14:paraId="7C13A4FA"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2D70A46"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B1F513" w14:textId="77777777" w:rsidR="00A62A3E" w:rsidRDefault="00000000">
            <w:pPr>
              <w:spacing w:after="0"/>
            </w:pPr>
            <w:r>
              <w:rPr>
                <w:color w:val="000000"/>
                <w:sz w:val="17"/>
              </w:rPr>
              <w:t>vs_finance, vs_procurement, vs_workflow, vs_rbac, vs_notifications, vs_audit, vs_tenants; consumed through schools.core.fal</w:t>
            </w:r>
          </w:p>
        </w:tc>
      </w:tr>
      <w:tr w:rsidR="00A62A3E" w14:paraId="2ADF563D"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8AD0B2D"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9276AB" w14:textId="77777777" w:rsidR="00A62A3E" w:rsidRDefault="00000000">
            <w:pPr>
              <w:spacing w:after="0"/>
            </w:pPr>
            <w:r>
              <w:rPr>
                <w:color w:val="000000"/>
                <w:sz w:val="17"/>
              </w:rPr>
              <w:t>Code-aligned baseline for Product and Engineering review</w:t>
            </w:r>
          </w:p>
        </w:tc>
      </w:tr>
      <w:tr w:rsidR="00A62A3E" w14:paraId="6528EEBD"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4FC2D03"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57B789" w14:textId="77777777" w:rsidR="00A62A3E" w:rsidRDefault="00000000">
            <w:pPr>
              <w:spacing w:after="0"/>
            </w:pPr>
            <w:r>
              <w:rPr>
                <w:color w:val="000000"/>
                <w:sz w:val="17"/>
              </w:rPr>
              <w:t>CodeX Team</w:t>
            </w:r>
          </w:p>
        </w:tc>
      </w:tr>
      <w:tr w:rsidR="00A62A3E" w14:paraId="732C6AAC" w14:textId="77777777">
        <w:trPr>
          <w:jc w:val="center"/>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6E5BBF0B" w14:textId="77777777" w:rsidR="00A62A3E" w:rsidRDefault="00000000">
            <w:r>
              <w:rPr>
                <w:b/>
                <w:color w:val="355B9D"/>
              </w:rPr>
              <w:t>EVIDENCE BOUNDARY</w:t>
            </w:r>
          </w:p>
          <w:p w14:paraId="50BD08E6"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7F0B3BCA" w14:textId="77777777" w:rsidR="00A62A3E" w:rsidRDefault="00000000">
            <w:pPr>
              <w:spacing w:after="40"/>
            </w:pPr>
            <w:r>
              <w:rPr>
                <w:color w:val="000000"/>
                <w:sz w:val="17"/>
              </w:rPr>
              <w:t>• Partial, Defective, and Not implemented items are current requirements and risks, not historical notes.</w:t>
            </w:r>
          </w:p>
          <w:p w14:paraId="6D01A539" w14:textId="77777777" w:rsidR="00A62A3E" w:rsidRDefault="00000000">
            <w:pPr>
              <w:spacing w:after="40"/>
            </w:pPr>
            <w:r>
              <w:rPr>
                <w:color w:val="000000"/>
                <w:sz w:val="17"/>
              </w:rPr>
              <w:t>• The MRD and this FRD have independent versions. A change can require one or both documents to advance.</w:t>
            </w:r>
          </w:p>
        </w:tc>
      </w:tr>
    </w:tbl>
    <w:p w14:paraId="0A054924" w14:textId="77777777" w:rsidR="00A62A3E" w:rsidRDefault="00000000">
      <w:r>
        <w:br w:type="page"/>
      </w:r>
    </w:p>
    <w:p w14:paraId="07D398E9"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07F4D2CE" w14:textId="77777777">
        <w:trPr>
          <w:tblHeader/>
          <w:jc w:val="center"/>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B9DEA46"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4317225" w14:textId="77777777" w:rsidR="00A62A3E" w:rsidRDefault="00000000">
            <w:pPr>
              <w:spacing w:after="0"/>
            </w:pPr>
            <w:r>
              <w:rPr>
                <w:b/>
                <w:color w:val="FFFFFF"/>
                <w:sz w:val="17"/>
              </w:rPr>
              <w:t>Purpose</w:t>
            </w:r>
          </w:p>
        </w:tc>
      </w:tr>
      <w:tr w:rsidR="00A62A3E" w14:paraId="1340418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47E8C0"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B8E545" w14:textId="77777777" w:rsidR="00A62A3E" w:rsidRDefault="00000000">
            <w:pPr>
              <w:spacing w:after="0"/>
            </w:pPr>
            <w:r>
              <w:rPr>
                <w:color w:val="000000"/>
                <w:sz w:val="17"/>
              </w:rPr>
              <w:t>Version, ownership, source baseline, and evidence rules</w:t>
            </w:r>
          </w:p>
        </w:tc>
      </w:tr>
      <w:tr w:rsidR="00A62A3E" w14:paraId="045D0D8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1F0AD3"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8EF0343" w14:textId="77777777" w:rsidR="00A62A3E" w:rsidRDefault="00000000">
            <w:pPr>
              <w:spacing w:after="0"/>
            </w:pPr>
            <w:r>
              <w:rPr>
                <w:color w:val="000000"/>
                <w:sz w:val="17"/>
              </w:rPr>
              <w:t>Gateway responsibility, and where the ledger takes over</w:t>
            </w:r>
          </w:p>
        </w:tc>
      </w:tr>
      <w:tr w:rsidR="00A62A3E" w14:paraId="672CD52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0DD25B4"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FC1134" w14:textId="77777777" w:rsidR="00A62A3E" w:rsidRDefault="00000000">
            <w:pPr>
              <w:spacing w:after="0"/>
            </w:pPr>
            <w:r>
              <w:rPr>
                <w:color w:val="000000"/>
                <w:sz w:val="17"/>
              </w:rPr>
              <w:t>Position between the provider and the books, and requirement states</w:t>
            </w:r>
          </w:p>
        </w:tc>
      </w:tr>
      <w:tr w:rsidR="00A62A3E" w14:paraId="7ED41ED9"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DFB0A1F"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2C01AE1" w14:textId="77777777" w:rsidR="00A62A3E" w:rsidRDefault="00000000">
            <w:pPr>
              <w:spacing w:after="0"/>
            </w:pPr>
            <w:r>
              <w:rPr>
                <w:color w:val="000000"/>
                <w:sz w:val="17"/>
              </w:rPr>
              <w:t>Who may collect, pay out, approve, and operate the failures</w:t>
            </w:r>
          </w:p>
        </w:tc>
      </w:tr>
      <w:tr w:rsidR="00A62A3E" w14:paraId="069AF74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B0675D"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7A3047" w14:textId="77777777" w:rsidR="00A62A3E" w:rsidRDefault="00000000">
            <w:pPr>
              <w:spacing w:after="0"/>
            </w:pPr>
            <w:r>
              <w:rPr>
                <w:color w:val="000000"/>
                <w:sz w:val="17"/>
              </w:rPr>
              <w:t>Testable behaviour, current evidence, acceptance, and limits</w:t>
            </w:r>
          </w:p>
        </w:tc>
      </w:tr>
      <w:tr w:rsidR="00A62A3E" w14:paraId="1ED4D9E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0E00D8"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E4316F6" w14:textId="77777777" w:rsidR="00A62A3E" w:rsidRDefault="00000000">
            <w:pPr>
              <w:spacing w:after="0"/>
            </w:pPr>
            <w:r>
              <w:rPr>
                <w:color w:val="000000"/>
                <w:sz w:val="17"/>
              </w:rPr>
              <w:t>Collection, payout, batch, and webhook lifecycles</w:t>
            </w:r>
          </w:p>
        </w:tc>
      </w:tr>
      <w:tr w:rsidR="00A62A3E" w14:paraId="0317AD6E"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B91B8F"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631B35" w14:textId="77777777" w:rsidR="00A62A3E" w:rsidRDefault="00000000">
            <w:pPr>
              <w:spacing w:after="0"/>
            </w:pPr>
            <w:r>
              <w:rPr>
                <w:color w:val="000000"/>
                <w:sz w:val="17"/>
              </w:rPr>
              <w:t>Persisted gateway records and their links into the ledger</w:t>
            </w:r>
          </w:p>
        </w:tc>
      </w:tr>
      <w:tr w:rsidR="00A62A3E" w14:paraId="4AB6E963"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E64FB06"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2FEF983" w14:textId="77777777" w:rsidR="00A62A3E" w:rsidRDefault="00000000">
            <w:pPr>
              <w:spacing w:after="0"/>
            </w:pPr>
            <w:r>
              <w:rPr>
                <w:color w:val="000000"/>
                <w:sz w:val="17"/>
              </w:rPr>
              <w:t>Routes, purposes, and typed errors</w:t>
            </w:r>
          </w:p>
        </w:tc>
      </w:tr>
      <w:tr w:rsidR="00A62A3E" w14:paraId="543A6AB0"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2449CA"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2FA785" w14:textId="77777777" w:rsidR="00A62A3E" w:rsidRDefault="00000000">
            <w:pPr>
              <w:spacing w:after="0"/>
            </w:pPr>
            <w:r>
              <w:rPr>
                <w:color w:val="000000"/>
                <w:sz w:val="17"/>
              </w:rPr>
              <w:t>Provider, ledger, workflow, alerting, and audit contracts</w:t>
            </w:r>
          </w:p>
        </w:tc>
      </w:tr>
      <w:tr w:rsidR="00A62A3E" w14:paraId="7A915477"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1BC5D1"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480C1A3" w14:textId="77777777" w:rsidR="00A62A3E" w:rsidRDefault="00000000">
            <w:pPr>
              <w:spacing w:after="0"/>
            </w:pPr>
            <w:r>
              <w:rPr>
                <w:color w:val="000000"/>
                <w:sz w:val="17"/>
              </w:rPr>
              <w:t>Current risks and required completion</w:t>
            </w:r>
          </w:p>
        </w:tc>
      </w:tr>
      <w:tr w:rsidR="00A62A3E" w14:paraId="42B7F5B3"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6259A9"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16689C" w14:textId="77777777" w:rsidR="00A62A3E" w:rsidRDefault="00000000">
            <w:pPr>
              <w:spacing w:after="0"/>
            </w:pPr>
            <w:r>
              <w:rPr>
                <w:color w:val="000000"/>
                <w:sz w:val="17"/>
              </w:rPr>
              <w:t>Module 18 capability mapping</w:t>
            </w:r>
          </w:p>
        </w:tc>
      </w:tr>
      <w:tr w:rsidR="00A62A3E" w14:paraId="67BB0D7C"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659A361"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7DD816D" w14:textId="77777777" w:rsidR="00A62A3E" w:rsidRDefault="00000000">
            <w:pPr>
              <w:spacing w:after="0"/>
            </w:pPr>
            <w:r>
              <w:rPr>
                <w:color w:val="000000"/>
                <w:sz w:val="17"/>
              </w:rPr>
              <w:t>Independent FRD revision history</w:t>
            </w:r>
          </w:p>
        </w:tc>
      </w:tr>
    </w:tbl>
    <w:p w14:paraId="5F49CB47" w14:textId="77777777" w:rsidR="00A62A3E" w:rsidRDefault="00000000">
      <w:r>
        <w:br w:type="page"/>
      </w:r>
    </w:p>
    <w:p w:rsidR="00A62A3E" w:rsidRDefault="00000000">
      <w:pPr>
        <w:pStyle w:val="Heading1"/>
        <w:keepNext/>
        <w:pBdr>
          <w:bottom w:val="single" w:sz="14" w:space="5" w:color="355B9D"/>
        </w:pBdr>
      </w:pPr>
      <w:r>
        <w:t>1. Purpose and Scope</w:t>
      </w:r>
    </w:p>
    <w:p w:rsidR="00A62A3E" w:rsidRDefault="00000000">
      <w:pPr>
        <w:spacing w:after="120"/>
      </w:pPr>
      <w:r>
        <w:t xml:space="preserve">Module 18 is the boundary between an external payment provider and the platform's books. It records what the platform asked a provider to do, what the provider said happened, and the raw events that prove it, then hands a confirmed movement to the ledger to post. Nothing in this module is itself an accounting entry: the authoritative record of money is always a finance journal, and this module's job is to make sure exactly one is raised, exactly once, for money that genuinely moved.</w:t>
      </w:r>
    </w:p>
    <w:p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Responsibility</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Collections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Asking a provider to collect, tracking the intent's status, and booking a customer receipt when it succeeds.</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Virtual accounts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Provisioning a dedicated account number per customer, and booking the unsolicited deposits that arrive into it.</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Payouts and batches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Single and bulk payout requests, their mandatory approval, provider dispatch, and the vendor payment each confirmed transfer books.</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Approval over every payout</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single payout is a one-line batch. Every batch requires an exact terminal approval before provider dispatch, with a second distinct checker at the high-value threshold.</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Webhook ingestion</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Signature verification, deduplication, durable storage of the raw body, and asynchronous processing with provider re-verification.</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Failure operations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queue of events that could not be booked, replay, the platform view of events attributable to no tenant, and the alarms that announce them.</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Reconciliation and reporting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Pairing gateway-confirmed movements against imported bank statement lines, and the transaction and movement feeds.</w:t>
            </w:r>
          </w:p>
        </w:tc>
      </w:tr>
    </w:tbl>
    <w:p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trPr>
          <w:tblHeader/>
          <w:jc w:val="center"/>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Owner</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accounting entry itself</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Finance &amp; Accounting. A confirmed collection books through the receivables service; a confirmed payout books through procurement's payables service. Period locks and balance guards are theirs.</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What is being paid for</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17, Billing &amp; Invoicing. This module receives an invoice or a customer to attribute a receipt to; it does not decide what is owed.</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Who must approve a batch</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7, Workflow &amp; Approval Engine. This module registers a handler and reacts to the outcome; it holds no approver rules.</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Bank statements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Statement lines are imported there and read here for reconciliation only.</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Delivery of the alarms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8, Notifications &amp; Delivery. This module decides what is worth announcing and to whom; it does not deliver.</w:t>
            </w:r>
          </w:p>
        </w:tc>
      </w:tr>
    </w:tbl>
    <w:p w:rsidR="00A62A3E" w:rsidRDefault="00000000">
      <w:pPr>
        <w:pStyle w:val="Heading1"/>
        <w:keepNext/>
        <w:pBdr>
          <w:bottom w:val="single" w:sz="14" w:space="5" w:color="355B9D"/>
        </w:pBdr>
      </w:pPr>
      <w:r>
        <w:t>2. Context and Status Model</w:t>
      </w:r>
    </w:p>
    <w:p w:rsidR="00A62A3E" w:rsidRDefault="00000000">
      <w:pPr>
        <w:spacing w:after="120"/>
      </w:pPr>
      <w:r>
        <w:t xml:space="preserve">Every path through this module has the same shape: something happens at the provider, the platform hears about it, and the ledger is updated once. The hard part is the middle. A provider retries, re-delivers, and occasionally reports something the platform never asked for, so every confirm path is written to be safe to run twice and to be replayable long after the fact.</w:t>
      </w:r>
    </w:p>
    <w:p w:rsidR="00A62A3E" w:rsidRDefault="00000000">
      <w:pPr>
        <w:pStyle w:val="Heading2"/>
        <w:keepNext/>
        <w:pBdr>
          <w:bottom w:val="single" w:sz="8" w:space="5" w:color="355B9D"/>
        </w:pBdr>
      </w:pPr>
      <w:r>
        <w:t>2.1 Status Model</w:t>
      </w:r>
    </w:p>
    <w:tbl>
      <w:tblPr>
        <w:tblW w:w="10468" w:type="dxa"/>
        <w:jc w:val="center"/>
        <w:tblLayout w:type="fixed"/>
        <w:tblLook w:val="04A0" w:firstRow="1" w:lastRow="0" w:firstColumn="1" w:lastColumn="0" w:noHBand="0" w:noVBand="1"/>
      </w:tblPr>
      <w:tblGrid>
        <w:gridCol w:w="3000"/>
        <w:gridCol w:w="7468"/>
      </w:tblGrid>
      <w:tr w:rsidR="00A62A3E">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Meaning</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stated behaviour is present in the inspected backend code and exercised by its tests.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behaviour exists and is usable, but a stated boundary applies.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Partial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 of the requirement is present; the rest is named in Section 9.</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 backend evidence was found for the stated behaviour.</w:t>
            </w:r>
          </w:p>
        </w:tc>
      </w:tr>
    </w:tbl>
    <w:p w:rsidR="00A62A3E" w:rsidRDefault="00000000">
      <w:pPr>
        <w:pStyle w:val="Heading2"/>
        <w:keepNext/>
        <w:pBdr>
          <w:bottom w:val="single" w:sz="8" w:space="5" w:color="355B9D"/>
        </w:pBdr>
      </w:pPr>
      <w:r>
        <w:t>2.2 Money and Units</w:t>
      </w:r>
    </w:p>
    <w:p w:rsidR="00A62A3E" w:rsidRDefault="00000000">
      <w:pPr>
        <w:spacing w:after="120"/>
      </w:pPr>
      <w:r>
        <w:t xml:space="preserve">Every monetary value in this module is an integer number of minor units (kobo), converted once at the API boundary and never held as a float. A bank statement line's amount is signed from the platform's perspective, and a gateway record is signed to match: a collection is positive, a payout negative, so a correct pairing nets to zero.</w:t>
      </w:r>
    </w:p>
    <w:p w:rsidR="00A62A3E" w:rsidRDefault="00000000">
      <w:pPr>
        <w:pStyle w:val="Heading1"/>
        <w:keepNext/>
        <w:pBdr>
          <w:bottom w:val="single" w:sz="14" w:space="5" w:color="355B9D"/>
        </w:pBdr>
      </w:pPr>
      <w:r>
        <w:t>3. Actors, Permissions, and Ownership</w:t>
      </w:r>
    </w:p>
    <w:p w:rsidR="00A62A3E" w:rsidRDefault="00000000">
      <w:pPr>
        <w:spacing w:after="120"/>
      </w:pPr>
      <w:r>
        <w:t xml:space="preserve">Access is governed by RBAC permission keys, seeded by seed_payments_permissions and enforced on every view. Sensitivity is declared per key, and the two that can move real money on their own are CRITICAL.</w:t>
      </w:r>
    </w:p>
    <w:tbl>
      <w:tblPr>
        <w:tblW w:w="10468" w:type="dxa"/>
        <w:jc w:val="center"/>
        <w:tblLayout w:type="fixed"/>
        <w:tblLook w:val="04A0" w:firstRow="1" w:lastRow="0" w:firstColumn="1" w:lastColumn="0" w:noHBand="0" w:noVBand="1"/>
      </w:tblPr>
      <w:tblGrid>
        <w:gridCol w:w="2100"/>
        <w:gridCol w:w="4600"/>
        <w:gridCol w:w="3768"/>
      </w:tblGrid>
      <w:tr w:rsidR="00A62A3E">
        <w:trPr>
          <w:tblHeader/>
          <w:jc w:val="center"/>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Actor</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May do</w:t>
            </w:r>
          </w:p>
        </w:tc>
        <w:tc>
          <w:tcPr>
            <w:tcW w:w="37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Governed by</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 operator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Read collections, payouts, batches, reports, and the movement feeds.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payments.collection.view, payments.payout.view, payments.report.view</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Collection initiator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Start a collection against a customer or invoice.</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payments.collection.create (CRITICAL)</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Payout initiator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Create payout requests and submit them into approval. No initiator route calls the provider.</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payments.payout.create (CRITICAL), payments.payout_batch.submit</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Payout checker and senior checker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Decide a submitted payout. High-value batches require two distinct people.</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payout-approver and payout-senior-approver roles named by the stages</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Virtual-account administrator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Provision accounts and change their status.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payments.virtual_account.create, .manage (both SENSITIVE)</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Failure operator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 events that failed to book and replay them.</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payments.webhook.view (SENSITIVE), payments.webhook.replay (CRITICAL)</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Platform failure operator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 and replay events that belong to no tenant.</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payments.unattributed_webhook.view, .replay, plus platform staff</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Provider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Deliver signed webhooks. Not an authenticated user of the platform.</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Signature verification against the provider secret</w:t>
            </w:r>
          </w:p>
        </w:tc>
      </w:tr>
    </w:tbl>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9DB8DF"/>
              <w:left w:val="single" w:sz="8" w:space="0" w:color="9DB8DF"/>
              <w:bottom w:val="single" w:sz="8" w:space="0" w:color="9DB8DF"/>
              <w:right w:val="single" w:sz="8" w:space="0" w:color="9DB8DF"/>
            </w:tcBorders>
            <w:shd w:val="clear" w:color="auto" w:fill="EAF0FA"/>
            <w:tcMar>
              <w:top w:w="70" w:type="dxa"/>
              <w:left w:w="90" w:type="dxa"/>
              <w:bottom w:w="70" w:type="dxa"/>
              <w:right w:w="90" w:type="dxa"/>
            </w:tcMar>
          </w:tcPr>
          <w:p w:rsidR="00A62A3E" w:rsidRDefault="00000000">
            <w:pPr>
              <w:keepNext/>
              <w:spacing w:after="40"/>
            </w:pPr>
            <w:r>
              <w:rPr>
                <w:b/>
                <w:color w:val="1F4E9C"/>
                <w:sz w:val="17"/>
              </w:rPr>
              <w:t>SENSITIVE FIELD ACCESS</w:t>
            </w:r>
          </w:p>
          <w:p w:rsidR="00A62A3E" w:rsidRDefault="00000000">
            <w:pPr>
              <w:spacing w:after="20"/>
              <w:ind w:left="86" w:hanging="86"/>
            </w:pPr>
            <w:r>
              <w:rPr>
                <w:sz w:val="16"/>
              </w:rPr>
              <w:t>• Beneficiary name, account number, and bank code on a payout, and provider identifiers on a virtual account, are withheld unless the caller additionally holds the matching view_sensitive key. List and detail responses use the same request-aware serializer.</w:t>
            </w:r>
          </w:p>
          <w:p w:rsidR="00A62A3E" w:rsidRDefault="00000000">
            <w:pPr>
              <w:spacing w:after="20"/>
              <w:ind w:left="86" w:hanging="86"/>
            </w:pPr>
            <w:r>
              <w:rPr>
                <w:sz w:val="16"/>
              </w:rPr>
              <w:t>• The unattributed-webhook views require platform staff in addition to the permission. An entity-scoped key grants reach only over its own records.</w:t>
            </w:r>
          </w:p>
        </w:tc>
      </w:tr>
    </w:tbl>
    <w:p w:rsidR="00A62A3E" w:rsidRDefault="00000000">
      <w:pPr>
        <w:pStyle w:val="Heading1"/>
        <w:keepNext/>
        <w:pBdr>
          <w:bottom w:val="single" w:sz="14" w:space="5" w:color="355B9D"/>
        </w:pBdr>
      </w:pPr>
      <w:r>
        <w:t>4. Functional Requirements</w:t>
      </w:r>
    </w:p>
    <w:p w:rsidR="00A62A3E" w:rsidRDefault="00000000">
      <w:pPr>
        <w:pStyle w:val="Heading2"/>
        <w:keepNext/>
        <w:pBdr>
          <w:bottom w:val="single" w:sz="8" w:space="5" w:color="355B9D"/>
        </w:pBdr>
      </w:pPr>
      <w:r>
        <w:t>FR-001 Initiate a Collection</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FR-001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collection can be started against a customer or an invoice, and its state tracked to a terminal outcome.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initiate_collection creates a CollectionIntent with a generated reference, the entity's currency, and the requested channel, then asks the provider to collect. The intent carries the customer or invoice it is attributed to.</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intent's reference is unique per entity and is what every later provider message is matched against. An intent in a terminal state is never re-driven.</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Attribution to an invoice is optional; an unattributed collection books against the customer only.</w:t>
            </w:r>
          </w:p>
        </w:tc>
      </w:tr>
    </w:tbl>
    <w:p w:rsidR="00A62A3E" w:rsidRDefault="00000000">
      <w:pPr>
        <w:spacing w:after="0"/>
      </w:pPr>
    </w:p>
    <w:p w:rsidR="00A62A3E" w:rsidRDefault="00000000">
      <w:pPr>
        <w:pStyle w:val="Heading2"/>
        <w:keepNext/>
        <w:pBdr>
          <w:bottom w:val="single" w:sz="8" w:space="5" w:color="355B9D"/>
        </w:pBdr>
      </w:pPr>
      <w:r>
        <w:t>FR-002 Book a Confirmed Collection Once</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FR-002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confirmed collection must raise exactly one customer receipt, however many times the provider says so.</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confirm_collection takes a row lock on the intent and short-circuits on a terminal state before doing anything, then books through the finance receivables service. The booked document is linked back to the intent.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duplicated or replayed confirmation finds the intent already terminal and books nothing further. The gateway record and the ledger document reference each other.</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FR-003 Provision a Virtual Account</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FR-003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customer can be given a dedicated account number that credits the entity directly.</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create_virtual_account provisions through the provider and records the account against the customer and the deposit account it books to. set_virtual_account_status governs activation and deactivation.</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Provider identifiers are treated as sensitive and withheld from callers without the sensitive key. A deposit into an inactive account is recorded and held for review rather than booked.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FR-004 Book an Unsolicited Deposit</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FR-004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Money arriving into a virtual account with no local intent must still reach the right customer's books, exactly once.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deposit event is resolved by the account the provider says was credited, and the intent is created on the spot with the provider's transaction reference as its own. record_virtual_account_deposit then books it like any other collection.</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re-delivery or a replay finds an intent already carrying that reference and creates no second one. A deposit naming an unknown account is ignored and invents nothing; one into a customerless account is recorded but not booked.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FR-005 Verify and Deduplicate Every Webhook</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FR-005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 inbound provider message must be proved authentic before it is acted on, and must never be acted on twice.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ingest_webhook verifies the raw body's signature against the provider secret and rejects with 401 otherwise. Every event is stored under a unique dedupe key with its raw body and headers persisted verbatim before any processing.</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 unsigned or wrongly signed body is refused and nothing downstream runs. A repeated delivery finds the row present and does nothing, and the confirm services are independently idempotent, so a duplicate cannot book twice even under a race.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FR-006 Process Webhooks Off the Request Path</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FR-006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provider's callback must be acknowledged quickly, with the real work done afterwards.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receiver stores and acknowledges, then enqueues process_webhook_event on commit so the outbound re-verification and the booking run on a worker rather than inside the provider's HTTP callback.</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provider is acknowledged before any ledger work begins, and a slow or failing booking cannot cause the provider to see a timeout.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Processing depends on a worker being available; with none, events stay stored and unprocessed until one runs.</w:t>
            </w:r>
          </w:p>
        </w:tc>
      </w:tr>
    </w:tbl>
    <w:p w:rsidR="00A62A3E" w:rsidRDefault="00000000">
      <w:pPr>
        <w:spacing w:after="0"/>
      </w:pPr>
    </w:p>
    <w:p w:rsidR="00A62A3E" w:rsidRDefault="00000000">
      <w:pPr>
        <w:pStyle w:val="Heading2"/>
        <w:keepNext/>
        <w:pBdr>
          <w:bottom w:val="single" w:sz="8" w:space="5" w:color="355B9D"/>
        </w:pBdr>
      </w:pPr>
      <w:r>
        <w:t>FR-007 Re-verify With the Provider Before Booking</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FR-007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webhook's word alone is not sufficient evidence that money moved.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Processing calls back out to the provider to confirm the transaction before booking. A deposit the provider will not confirm books nothing.</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forged or mistaken event that survives signature checking still cannot book, because the provider is asked directly and disagreement stops the booking.</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FR-008 Record a Booking Failure Rather Than Losing It</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FR-008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confirmed payment that cannot reach the books must be recorded as a failure, not dropped and not retried into the provider's face.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process_stored_event records the failure, marks the event FAILED, and deliberately swallows the exception so the provider, already acknowledged and retrying idempotently, is not handed a spurious 500.</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event survives with its raw body intact and is listed for its entity on the failure queue. Another entity's failure is never listed.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FR-009 Replay a Failed Event</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FR-009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 operator must be able to re-run a failed booking once the cause is fixed, without asking the provider to re-send.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replay endpoint re-runs the stored event through the same confirm path. Booking exactly one receipt once a fiscal period is open, and saying so plainly when it still cannot book, are both covered by tests.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Replay is idempotent: replaying an already-booked event books nothing further. Replay requires its own CRITICAL permission, separate from viewing.</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FR-010 Operate Events That Belong to No Tenant</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FR-010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provider event that matches nothing in the platform must still be visible and recoverable, without granting anyone a cross-tenant view of ordinary payments.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Unattributed events have their own list and replay endpoints, their own permission keys, and an additional requirement that the caller is platform staff. An event that does belong to an entity never appears on the platform list.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tenant user is refused even when holding the entity-scoped keys. Replaying books the deposit once the account is provisioned, and replaying again books nothing further. A replay that resolves nothing says so and changes nothing.</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FR-011 Announce Money That Did Not Reach the Books</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FR-011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failure that is only visible on a screen is not noticed. Somebody must be told.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Two alarms of deliberately different kinds: a standing daily per-entity digest of the outstanding backlog, and an hourly platform surge alarm when several failures land inside one window. Both are stateless, so a missed run costs only a late notice.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digest re-sends while a backlog exists, which is correct for a standing report and is why it is not a per-event alert: at month-end every receipt can fail, and a hundred alerts are worth the same as none.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Recipients are resolved by permission holders, so an entity with nobody holding the key is alerted to nobody.</w:t>
            </w:r>
          </w:p>
        </w:tc>
      </w:tr>
    </w:tbl>
    <w:p w:rsidR="00A62A3E" w:rsidRDefault="00000000">
      <w:pPr>
        <w:spacing w:after="0"/>
      </w:pPr>
    </w:p>
    <w:p w:rsidR="00A62A3E" w:rsidRDefault="00000000">
      <w:pPr>
        <w:pStyle w:val="Heading2"/>
        <w:keepNext/>
        <w:pBdr>
          <w:bottom w:val="single" w:sz="8" w:space="5" w:color="355B9D"/>
        </w:pBdr>
      </w:pPr>
      <w:r>
        <w:t>FR-012 Create and Queue a Payout</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FR-012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payout request must be queued for human approval, use the verified vendor destination, and be replay-safe before the provider is called.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POST /payouts/ creates a one-line PayoutBatch and one pending instruction, binds the request to Idempotency-Key, snapshots the eligible vendor master, and submits the batch to Module 7. initiate_payout is retained only as an explicit refusal.</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first response is 201 and an identical replay is 200 with the same batch, instruction, and workflow. A changed-payload replay is 409. No provider call occurs before approval, and protected bank fields remain withheld.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No template-routing limit remains for active entities after migration. Approver staffing is deliberately separate: an unstaffed stage parks rather than allowing dispatch.</w:t>
            </w:r>
          </w:p>
        </w:tc>
      </w:tr>
    </w:tbl>
    <w:p w:rsidR="00A62A3E" w:rsidRDefault="00000000">
      <w:pPr>
        <w:spacing w:after="0"/>
      </w:pPr>
    </w:p>
    <w:p w:rsidR="00A62A3E" w:rsidRDefault="00000000">
      <w:pPr>
        <w:pStyle w:val="Heading2"/>
        <w:keepNext/>
        <w:pBdr>
          <w:bottom w:val="single" w:sz="8" w:space="5" w:color="355B9D"/>
        </w:pBdr>
      </w:pPr>
      <w:r>
        <w:t>FR-013 Run a Bulk Payout Batch</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FR-013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Many beneficiaries can be paid in one run, with the batch's state derived from its instructions.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create_payout_batch validates and snapshots each vendor, stores the idempotency key and request fingerprint, and builds pending instructions. submit_payout_batch dispatches only after validating the exact approved instance and locked batch integrity.</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batch summary counts only in-flight children as queued. Count, total, entity, provider, vendor eligibility, and destination snapshots are rechecked under locks before any provider call. A partially failed batch is not reported as complete.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Provider calls remain one instruction at a time; the batch is an approval and operational envelope, not a provider-native bulk file.</w:t>
            </w:r>
          </w:p>
        </w:tc>
      </w:tr>
    </w:tbl>
    <w:p w:rsidR="00A62A3E" w:rsidRDefault="00000000">
      <w:pPr>
        <w:spacing w:after="0"/>
      </w:pPr>
    </w:p>
    <w:p w:rsidR="00A62A3E" w:rsidRDefault="00000000">
      <w:pPr>
        <w:pStyle w:val="Heading2"/>
        <w:keepNext/>
        <w:pBdr>
          <w:bottom w:val="single" w:sz="8" w:space="5" w:color="355B9D"/>
        </w:pBdr>
      </w:pPr>
      <w:r>
        <w:t>FR-014 Gate Every Payout Behind Approval</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FR-014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Every payout, single or bulk, must receive maker-checker approval before it reaches the provider.</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Direct single dispatch and direct batch submission refuse. The registered workflow handler is the only dispatch caller and passes its exact terminal instance into the service. The service independently matches document type, object, tenant, status, requester separation, and live human approval actions.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Missing templates fail closed and roll request creation back. Low-value batches require one human checker distinct from the requester. Batches at or above 50,000,000 kobo require a second distinct senior checker. The same person cannot satisfy both stages.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threshold is a shipped backend default. A future product policy may make it tenant-configurable, but no template may weaken the provider-bound minimum.</w:t>
            </w:r>
          </w:p>
        </w:tc>
      </w:tr>
    </w:tbl>
    <w:p w:rsidR="00A62A3E" w:rsidRDefault="00000000">
      <w:pPr>
        <w:spacing w:after="0"/>
      </w:pPr>
    </w:p>
    <w:p w:rsidR="00A62A3E" w:rsidRDefault="00000000">
      <w:pPr>
        <w:pStyle w:val="Heading2"/>
        <w:keepNext/>
        <w:pBdr>
          <w:bottom w:val="single" w:sz="8" w:space="5" w:color="355B9D"/>
        </w:pBdr>
      </w:pPr>
      <w:r>
        <w:t>FR-015 Seed the Two-Stage Payout Ladder Blocked</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FR-015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Provisioning must supply a blocked two-stage ladder rather than an absent or self-skipping gate.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default ladder has an always-on payout checker and a conditional senior checker at 50,000,000 kobo. Both stages set skip_if_no_approvers=False. Tenant provisioning creates both roles without appointing holders, and the data migration adds the senior stage only to the exact shipped one-stage shape.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An unstaffed applicable stage parks. Appointing a holder makes it actionable. Custom ladders are left untouched. Payout handlers advertise that continue-without-approval is unavailable and reject the release endpoint with a typed 409.</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Custom ladders remain administrator-owned, but the provider boundary still enforces one or two distinct human votes by amount.</w:t>
            </w:r>
          </w:p>
        </w:tc>
      </w:tr>
    </w:tbl>
    <w:p w:rsidR="00A62A3E" w:rsidRDefault="00000000">
      <w:pPr>
        <w:spacing w:after="0"/>
      </w:pPr>
    </w:p>
    <w:p w:rsidR="00A62A3E" w:rsidRDefault="00000000">
      <w:pPr>
        <w:pStyle w:val="Heading2"/>
        <w:keepNext/>
        <w:pBdr>
          <w:bottom w:val="single" w:sz="8" w:space="5" w:color="355B9D"/>
        </w:pBdr>
      </w:pPr>
      <w:r>
        <w:t>FR-020 Publish the Ladder When the Books Are Created</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FR-020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gate must not depend on somebody remembering a command.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New entity provisioning publishes a tenant ladder. Migration 0006 also publishes the blocked standard platform fallback when no platform policy already exists, covering entities that predate that provisioner without overwriting administrator-owned policy. payout_approval_health asks the same workflow resolver used by submission and reports every active entity that still has no route.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After migration, every active ledger entity resolves either its tenant policy or the platform fallback. Re-running the migration is idempotent. Existing platform configuration is unchanged. The release check exits successfully only when no active entity is uncovered.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fallback supplies routing, not people. Each applicable stage remains blocked until a checker role has a holder; workflow role coverage reports that separate staffing condition.</w:t>
            </w:r>
          </w:p>
        </w:tc>
      </w:tr>
    </w:tbl>
    <w:p w:rsidR="00A62A3E" w:rsidRDefault="00000000">
      <w:pPr>
        <w:spacing w:after="0"/>
      </w:pPr>
    </w:p>
    <w:p w:rsidR="00A62A3E" w:rsidRDefault="00000000">
      <w:pPr>
        <w:pStyle w:val="Heading2"/>
        <w:keepNext/>
        <w:pBdr>
          <w:bottom w:val="single" w:sz="8" w:space="5" w:color="355B9D"/>
        </w:pBdr>
      </w:pPr>
      <w:r>
        <w:t>FR-016 Reconcile the Gateway Against the Bank</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FR-016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provider saying money settled is not the same as money arriving. The difference must be visible.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reconciliation report pairs every gateway-confirmed movement against imported bank statement lines for the same entity, first on a shared reference and then, for anything still open, on an exact signed-amount match within the date window.</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It reports both directions: gateway transactions not yet on the bank, and bank lines with no gateway record. It is read-only and never mutates a bank line or books a journal.</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Amount matching within a window can pair two same-value movements in the wrong order; the report is an operator aid, not an authority.</w:t>
            </w:r>
          </w:p>
        </w:tc>
      </w:tr>
    </w:tbl>
    <w:p w:rsidR="00A62A3E" w:rsidRDefault="00000000">
      <w:pPr>
        <w:spacing w:after="0"/>
      </w:pPr>
    </w:p>
    <w:p w:rsidR="00A62A3E" w:rsidRDefault="00000000">
      <w:pPr>
        <w:pStyle w:val="Heading2"/>
        <w:keepNext/>
        <w:pBdr>
          <w:bottom w:val="single" w:sz="8" w:space="5" w:color="355B9D"/>
        </w:pBdr>
      </w:pPr>
      <w:r>
        <w:t>FR-017 Serve the Transaction and Movement Feeds</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FR-017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 operator needs one chronological view of gateway activity and a summarised view of value moved.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transactions log, the movements feed, and their summaries are entity-scoped read endpoints over the gateway records.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Internal linked identifiers are not exposed on the movements feed. List responses use the platform's standard envelope.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FR-018 Keep a Durable Gateway Audit Trail</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FR-018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What was attempted, what was refused, and what confirmed must survive, including when the attempt itself was rolled back.</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PaymentEvent is append-only and written through a thin audit wrapper in its own committed transaction, so a rollback of a failed action does not erase the record of it. Rejected attempts are recorded, not only successful ones.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ledger postings downstream write their own finance audit rows, so the two trails are complementary rather than duplicated.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FR-019 Keep Entities Apart on Every Surface</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FR-019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One entity's payments, failures, and reports must never be readable by another.</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Every view resolves the entity from the request and filters on it. The cross-tenant cases are covered by tests on the failure queue, the unattributed list, and the reports.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Another entity's failed event is not listed. A tenant user cannot reach the platform-scope lists even holding the entity-scoped keys.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1"/>
        <w:keepNext/>
        <w:pBdr>
          <w:bottom w:val="single" w:sz="14" w:space="5" w:color="355B9D"/>
        </w:pBdr>
      </w:pPr>
      <w:r>
        <w:t>5. Workflows and Lifecycle Rules</w:t>
      </w:r>
    </w:p>
    <w:p w:rsidR="00A62A3E" w:rsidRDefault="00000000">
      <w:pPr>
        <w:pStyle w:val="Heading2"/>
        <w:keepNext/>
        <w:pBdr>
          <w:bottom w:val="single" w:sz="8" w:space="5" w:color="355B9D"/>
        </w:pBdr>
      </w:pPr>
      <w:r>
        <w:t>5.1 Collection Lifecycle</w:t>
      </w:r>
    </w:p>
    <w:tbl>
      <w:tblPr>
        <w:tblW w:w="10468" w:type="dxa"/>
        <w:jc w:val="center"/>
        <w:tblLayout w:type="fixed"/>
        <w:tblLook w:val="04A0" w:firstRow="1" w:lastRow="0" w:firstColumn="1" w:lastColumn="0" w:noHBand="0" w:noVBand="1"/>
      </w:tblPr>
      <w:tblGrid>
        <w:gridCol w:w="2000"/>
        <w:gridCol w:w="4600"/>
        <w:gridCol w:w="3868"/>
      </w:tblGrid>
      <w:tr w:rsidR="00A62A3E">
        <w:trPr>
          <w:tblHeader/>
          <w:jc w:val="center"/>
        </w:trPr>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Entered when</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Leaves to</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PENDING</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An intent is created and sent to the provider.</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PROCESSING, SUCCEEDED, FAILED, or CANCELLED.</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PROCESSING</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provider acknowledged and is working on it.</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SUCCEEDED or FAILED.</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SUCCEEDED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Confirmed and booked as a customer receipt.</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Terminal.</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FAILED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provider reported failure, or booking was refused.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Terminal for the intent; the event stays replayable.</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CANCELLED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Abandoned before a provider outcome.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Terminal.</w:t>
            </w:r>
          </w:p>
        </w:tc>
      </w:tr>
    </w:tbl>
    <w:p w:rsidR="00A62A3E" w:rsidRDefault="00000000">
      <w:pPr>
        <w:pStyle w:val="Heading2"/>
        <w:keepNext/>
        <w:pBdr>
          <w:bottom w:val="single" w:sz="8" w:space="5" w:color="355B9D"/>
        </w:pBdr>
      </w:pPr>
      <w:r>
        <w:t>5.2 Payout and Batch Lifecycle</w:t>
      </w:r>
    </w:p>
    <w:p w:rsidR="00A62A3E" w:rsidRDefault="00000000">
      <w:pPr>
        <w:spacing w:after="120"/>
      </w:pPr>
      <w:r>
        <w:t>A payout instruction is created pending inside a batch and cannot reach dispatch until the batch has its required human approvals. The batch remains DRAFT during review, moves to PROCESSING only after the provider accepts at least one instruction, and derives its terminal state from its children. Confirmation remains idempotent and books the vendor payment once.</w:t>
      </w:r>
    </w:p>
    <w:p w:rsidR="00A62A3E" w:rsidRDefault="00000000">
      <w:pPr>
        <w:pStyle w:val="Heading2"/>
        <w:keepNext/>
        <w:pBdr>
          <w:bottom w:val="single" w:sz="8" w:space="5" w:color="355B9D"/>
        </w:pBdr>
      </w:pPr>
      <w:r>
        <w:t>5.3 Webhook Lifecycle</w:t>
      </w:r>
    </w:p>
    <w:tbl>
      <w:tblPr>
        <w:tblW w:w="10468" w:type="dxa"/>
        <w:jc w:val="center"/>
        <w:tblLayout w:type="fixed"/>
        <w:tblLook w:val="04A0" w:firstRow="1" w:lastRow="0" w:firstColumn="1" w:lastColumn="0" w:noHBand="0" w:noVBand="1"/>
      </w:tblPr>
      <w:tblGrid>
        <w:gridCol w:w="1200"/>
        <w:gridCol w:w="9268"/>
      </w:tblGrid>
      <w:tr w:rsidR="00A62A3E">
        <w:trPr>
          <w:tblHeader/>
          <w:jc w:val="center"/>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Step</w:t>
            </w:r>
          </w:p>
        </w:tc>
        <w:tc>
          <w:tcPr>
            <w:tcW w:w="9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Rule</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w:t>
            </w:r>
          </w:p>
        </w:tc>
        <w:tc>
          <w:tcPr>
            <w:tcW w:w="9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raw body's signature is verified against the provider secret. A failure is a 401 and nothing is stored as actionable.</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2</w:t>
            </w:r>
          </w:p>
        </w:tc>
        <w:tc>
          <w:tcPr>
            <w:tcW w:w="9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event is stored under its dedupe key with body and headers verbatim. A repeat finds the row and stops.</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3</w:t>
            </w:r>
          </w:p>
        </w:tc>
        <w:tc>
          <w:tcPr>
            <w:tcW w:w="9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provider is acknowledged, and processing is enqueued on commit.</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4</w:t>
            </w:r>
          </w:p>
        </w:tc>
        <w:tc>
          <w:tcPr>
            <w:tcW w:w="9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worker re-verifies with the provider, then books through the ledger under a row lock with a terminal-state short-circuit.</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5</w:t>
            </w:r>
          </w:p>
        </w:tc>
        <w:tc>
          <w:tcPr>
            <w:tcW w:w="9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booking failure marks the event FAILED and is swallowed, so the provider is not handed a 500. The event stays listed and replayable.</w:t>
            </w:r>
          </w:p>
        </w:tc>
      </w:tr>
    </w:tbl>
    <w:p w:rsidR="00A62A3E" w:rsidRDefault="00000000">
      <w:pPr>
        <w:pStyle w:val="Heading1"/>
        <w:keepNext/>
        <w:pBdr>
          <w:bottom w:val="single" w:sz="14" w:space="5" w:color="355B9D"/>
        </w:pBdr>
      </w:pPr>
      <w:r>
        <w:t>6. Data Model and Relationships</w:t>
      </w:r>
    </w:p>
    <w:p w:rsidR="00A62A3E" w:rsidRDefault="00000000">
      <w:pPr>
        <w:spacing w:after="120"/>
      </w:pPr>
      <w:r>
        <w:t xml:space="preserve">Nothing here is an accounting entry. Each confirmed record points at the finance or procurement document it booked, so the gateway record and the ledger entry are linked but decoupled, and the dependency runs one way: payments to finance, never the reverse.</w:t>
      </w:r>
    </w:p>
    <w:tbl>
      <w:tblPr>
        <w:tblW w:w="10468" w:type="dxa"/>
        <w:jc w:val="center"/>
        <w:tblLayout w:type="fixed"/>
        <w:tblLook w:val="04A0" w:firstRow="1" w:lastRow="0" w:firstColumn="1" w:lastColumn="0" w:noHBand="0" w:noVBand="1"/>
      </w:tblPr>
      <w:tblGrid>
        <w:gridCol w:w="2200"/>
        <w:gridCol w:w="4400"/>
        <w:gridCol w:w="3868"/>
      </w:tblGrid>
      <w:tr w:rsidR="00A62A3E">
        <w:trPr>
          <w:tblHeader/>
          <w:jc w:val="center"/>
        </w:trPr>
        <w:tc>
          <w:tcPr>
            <w:tcW w:w="2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Model</w:t>
            </w:r>
          </w:p>
        </w:tc>
        <w:tc>
          <w:tcPr>
            <w:tcW w:w="4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Holds</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Links to</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CollectionIntent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request to collect, its channel, status, and reference.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customer or invoice it is for, and the receipt it booked.</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VirtualAccount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dedicated account number for one customer.</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customer and the deposit account its credits book to.</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PayoutInstruction</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One vendor-backed transfer, its approved destination snapshot, and status.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Its batch, if any, and the vendor payment it booked.</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PayoutBatch</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payout run, its idempotency key and request fingerprint, amount and item totals, and derived status.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Its instructions and exact Module 7 workflow instance; its approval phase is also summarized in metadata.</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WebhookEvent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raw body, headers, dedupe key, and processing status.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Whatever it resolved to, or nothing when unattributed.</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PaymentEvent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Append-only gateway audit: attempted, refused, confirmed.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gateway record it concerns.</w:t>
            </w:r>
          </w:p>
        </w:tc>
      </w:tr>
    </w:tbl>
    <w:p w:rsidR="00A62A3E" w:rsidRDefault="00000000">
      <w:pPr>
        <w:pStyle w:val="Heading1"/>
        <w:keepNext/>
        <w:pBdr>
          <w:bottom w:val="single" w:sz="14" w:space="5" w:color="355B9D"/>
        </w:pBdr>
      </w:pPr>
      <w:r>
        <w:t>7. API and Validation Contracts</w:t>
      </w:r>
    </w:p>
    <w:p w:rsidR="00A62A3E" w:rsidRDefault="00000000">
      <w:pPr>
        <w:spacing w:after="120"/>
      </w:pPr>
      <w:r>
        <w:t xml:space="preserve">All routes are mounted under /v1/payments/ and require an asserted entity, except the provider webhook receiver.</w:t>
      </w:r>
    </w:p>
    <w:p w:rsidR="00A62A3E" w:rsidRDefault="00000000">
      <w:pPr>
        <w:pStyle w:val="Heading2"/>
        <w:keepNext/>
        <w:pBdr>
          <w:bottom w:val="single" w:sz="8" w:space="5" w:color="355B9D"/>
        </w:pBdr>
      </w:pPr>
      <w:r>
        <w:t>7.1 Collections and Virtual Accounts</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/collections/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List and initiate collections.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/collections/summary/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Counts and value by status.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/collections/{id}/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Detail, including a verify against the provider.</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/virtual-accounts/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List and provision accounts.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PATCH /virtual-accounts/{id}/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Read and change status.</w:t>
            </w:r>
          </w:p>
        </w:tc>
      </w:tr>
    </w:tbl>
    <w:p w:rsidR="00A62A3E" w:rsidRDefault="00000000">
      <w:pPr>
        <w:pStyle w:val="Heading2"/>
        <w:keepNext/>
        <w:pBdr>
          <w:bottom w:val="single" w:sz="8" w:space="5" w:color="355B9D"/>
        </w:pBdr>
      </w:pPr>
      <w:r>
        <w:t>7.2 Payouts, Batches, and Reports</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/payouts/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List payouts; POST creates a vendor-backed one-line batch and submits it for approval. Idempotency-Key is required.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/payouts/summary/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Counts and value by status.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/payout-batches/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List and create bulk runs. Idempotency-Key is required; submit=true submits for approval, never directly to the provider.</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GET, POST /payout-batches/{id}/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GET returns detail with instructions. POST is retained as an explicit refusal of direct provider submission.</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/payout-batches/{id}/submit-for-approval/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Submit into the approval engine; the response carries the parked warning when nobody can approve.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/reports/settlement-reconciliation/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Gateway movements paired against bank statement lines.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/transactions/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Chronological gateway activity.</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/movements/, /movements/summary/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Value moved, and its summary.</w:t>
            </w:r>
          </w:p>
        </w:tc>
      </w:tr>
    </w:tbl>
    <w:p w:rsidR="00A62A3E" w:rsidRDefault="00000000">
      <w:pPr>
        <w:pStyle w:val="Heading2"/>
        <w:keepNext/>
        <w:pBdr>
          <w:bottom w:val="single" w:sz="8" w:space="5" w:color="355B9D"/>
        </w:pBdr>
      </w:pPr>
      <w:r>
        <w:t>7.3 Webhooks and Failure Operations</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/webhooks/{provider}/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provider receiver. Signature-verified, deduplicated, stored, acknowledged.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/webhooks/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Events that could not be booked, for this entity.</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/webhooks/summary/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What needs attention, counted.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/webhooks/{id}/replay/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Re-run a failed booking.</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/webhooks/unattributed/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Platform view of events matching no tenant.</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/webhooks/unattributed/{id}/replay/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Re-run one once the missing record exists.</w:t>
            </w:r>
          </w:p>
        </w:tc>
      </w:tr>
    </w:tbl>
    <w:p w:rsidR="00A62A3E" w:rsidRDefault="00000000">
      <w:pPr>
        <w:pStyle w:val="Heading2"/>
        <w:keepNext/>
        <w:pBdr>
          <w:bottom w:val="single" w:sz="8" w:space="5" w:color="355B9D"/>
        </w:pBdr>
      </w:pPr>
      <w:r>
        <w:t>7.4 Typed Errors</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Condition</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Answer</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Unverified or wrongly signed webhook body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401, and nothing is acted on.</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Caller lacks the view or action key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403.</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Caller is not platform staff on an unattributed route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403.</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Replay of an event that resolves nothing</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200 with an explicit statement that nothing changed.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Direct provider submission or missing exact approval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409 PAYOUT_APPROVAL_REQUIRED; no provider call.</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Missing Idempotency-Key, or malformed payout input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400; no batch is persisted.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Idempotency key reused for a changed request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409 PAYOUT_IDEMPOTENCY_CONFLICT; the original request remains authoritative.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Vendor inactive, on hold, unverified, incomplete, or changed after approval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Refused before provider dispatch.</w:t>
            </w:r>
          </w:p>
        </w:tc>
      </w:tr>
    </w:tbl>
    <w:p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Contract</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Finance abstraction layer</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Starts a collection on a guardian's behalf and reads back receipts, and does nothing else here: it never confirms, never books, and never handles a webhook. Settlement stays inside this module, because a second settlement path is how a payer gets credited twice.</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Finance &amp; Accounting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Books every confirmed collection as a customer receipt and supplies the bank statement lines reconciliation reads. Period locks are enforced there, which is why a closed period surfaces here as a booking failure.</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Modules 21 to 23, procurement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Supplies the authoritative vendor bank destination and KYC/hold status; confirmed payouts still book through payables.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7, Workflow &amp; Approval Engine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Runs mandatory payout approval and exposes a handler policy that forbids continue-without-approval for cash-out.</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4, Roles &amp; Permissions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Supplies the payout checker and senior checker roles and the permission keys the views enforce.</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8, Notifications &amp; Delivery</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Delivers the unbooked digest and the surge alarm.</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5, Audit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Receives the gateway audit stream.</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Providers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Paystack, plus a fake provider used to drive the real adapters against recorded payloads in tests. OPay was removed; the provider enumeration carries exactly those two, and a registry override seam lets a test or an operator substitute a client.</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Seeding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seed_payments_permissions registers the keys. New books publish tenant payout policy; migration 0006 supplies the non-destructive platform fallback for older entities; payout_approval_health is the release gate.</w:t>
            </w:r>
          </w:p>
        </w:tc>
      </w:tr>
    </w:tbl>
    <w:p w:rsidR="00A62A3E" w:rsidRDefault="00000000">
      <w:pPr>
        <w:pStyle w:val="Heading1"/>
        <w:keepNext/>
        <w:pBdr>
          <w:bottom w:val="single" w:sz="14" w:space="5" w:color="355B9D"/>
        </w:pBdr>
      </w:pPr>
      <w:r>
        <w:t>9. Needs Attention</w:t>
      </w:r>
    </w:p>
    <w:p w:rsidR="00A62A3E" w:rsidRDefault="00000000">
      <w:pPr>
        <w:spacing w:after="120"/>
      </w:pPr>
      <w:r>
        <w:t xml:space="preserve">These are current risks and gaps, not history.</w:t>
      </w: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CURRENT PAYOUT CONTROL - FAIL CLOSED</w:t>
              <w:br/>
              <w:t>• Approval is not optional by route. Every single or bulk payout enters Module 7 and only the terminal callback may ask the provider to transfer.</w:t>
              <w:br/>
              <w:t>• New books receive tenant policy. Older active entities inherit a blocked platform fallback through migration 0006, unless an administrator already owns that platform policy.</w:t>
              <w:br/>
              <w:t>• payout_approval_health names any active entity that still cannot resolve a standard ladder and fails the release check. Missing approver appointments are a separate parked-state health concern.</w:t>
              <w:br/>
              <w:t>• The default threshold is N500,000: one checker below it, and a distinct senior checker at or above it.</w:t>
            </w:r>
          </w:p>
        </w:tc>
      </w:tr>
    </w:tbl>
    <w:p w:rsidR="00A62A3E" w:rsidRDefault="00000000">
      <w:pPr>
        <w:spacing w:after="0"/>
      </w:pP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FURTHER GAPS</w:t>
            </w:r>
          </w:p>
          <w:p w:rsidR="00A62A3E" w:rsidRDefault="00000000">
            <w:pPr>
              <w:spacing w:after="20"/>
              <w:ind w:left="86" w:hanging="86"/>
            </w:pPr>
            <w:r>
              <w:rPr>
                <w:sz w:val="16"/>
              </w:rPr>
              <w:t>• Webhook processing depends on a worker. With none running, events are stored and acknowledged but never booked, and the digest is the only thing that would say so.</w:t>
            </w:r>
          </w:p>
          <w:p w:rsidR="00A62A3E" w:rsidRDefault="00000000">
            <w:pPr>
              <w:spacing w:after="20"/>
              <w:ind w:left="86" w:hanging="86"/>
            </w:pPr>
            <w:r>
              <w:rPr>
                <w:sz w:val="16"/>
              </w:rPr>
              <w:t>• The unbooked alarms resolve recipients by permission holders, so an entity where nobody holds the key is alerted to nobody.</w:t>
            </w:r>
          </w:p>
          <w:p w:rsidR="00A62A3E" w:rsidRDefault="00000000">
            <w:pPr>
              <w:spacing w:after="20"/>
              <w:ind w:left="86" w:hanging="86"/>
            </w:pPr>
            <w:r>
              <w:rPr>
                <w:sz w:val="16"/>
              </w:rPr>
              <w:t>• Settlement reconciliation falls back to matching on signed amount within a date window, which can pair two equal movements in the wrong order. It is an operator aid, not an authority.</w:t>
            </w:r>
          </w:p>
        </w:tc>
      </w:tr>
    </w:tbl>
    <w:p w:rsidR="00A62A3E" w:rsidRDefault="00000000">
      <w:pPr>
        <w:pStyle w:val="Heading1"/>
        <w:keepNext/>
        <w:pBdr>
          <w:bottom w:val="single" w:sz="14" w:space="5" w:color="355B9D"/>
        </w:pBdr>
      </w:pPr>
      <w:r>
        <w:t>10. MRD Traceability</w:t>
      </w:r>
    </w:p>
    <w:p w:rsidR="00A62A3E" w:rsidRDefault="00000000">
      <w:pPr>
        <w:spacing w:after="120"/>
      </w:pPr>
      <w:r>
        <w:t>Module 18 carries 21 capability entries in MRD v2.45. Each maps to the requirements below.</w:t>
      </w:r>
    </w:p>
    <w:tbl>
      <w:tblPr>
        <w:tblW w:w="10468" w:type="dxa"/>
        <w:jc w:val="center"/>
        <w:tblLayout w:type="fixed"/>
        <w:tblLook w:val="04A0" w:firstRow="1" w:lastRow="0" w:firstColumn="1" w:lastColumn="0" w:noHBand="0" w:noVBand="1"/>
      </w:tblPr>
      <w:tblGrid>
        <w:gridCol w:w="6000"/>
        <w:gridCol w:w="4468"/>
      </w:tblGrid>
      <w:tr w:rsidR="00A62A3E">
        <w:trPr>
          <w:tblHeader/>
          <w:jc w:val="center"/>
        </w:trPr>
        <w:tc>
          <w:tcPr>
            <w:tcW w:w="6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MRD capability</w:t>
            </w:r>
          </w:p>
        </w:tc>
        <w:tc>
          <w:tcPr>
            <w:tcW w:w="4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Requirements</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 collection intents and status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FR-001, FR-002</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Virtual-account operations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FR-003</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Paystack provider integration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FR-005, FR-007</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Provider registry with per-provider overrides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FR-001, FR-007</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Fake provider for controlled testing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FR-005</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Signed and idempotent webhook ingestion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FR-005</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Provider-side webhook re-verification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FR-007</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Asynchronous webhook processing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FR-006</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Payout creation and mandatory approval lifecycle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FR-012</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Payout batches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FR-013</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Mandatory amount-tiered payout workflow approval</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FR-014, FR-015, FR-020</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Settlement import and reconciliation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FR-016</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Transaction log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FR-017</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 movements and movement summary</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FR-017</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 posting integration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FR-002, FR-012</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Virtual-account deposit capture and booking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FR-004</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Failed-webhook operator queue and replay</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FR-008, FR-009</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Unbooked-receipt alerting and escalation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FR-011</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Unattributed-webhook platform operations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FR-010</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Idempotent payout request creation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FR-012, FR-013</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Verified vendor payout destination and dispatch revalidation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FR-012, FR-013, FR-014</w:t>
            </w:r>
          </w:p>
        </w:tc>
      </w:tr>
    </w:tbl>
    <w:p w:rsidR="00A62A3E" w:rsidRDefault="00000000">
      <w:pPr>
        <w:pStyle w:val="Heading1"/>
        <w:keepNext/>
        <w:pBdr>
          <w:bottom w:val="single" w:sz="14" w:space="5" w:color="355B9D"/>
        </w:pBdr>
      </w:pPr>
      <w:r>
        <w:t>11. Change Log</w:t>
      </w:r>
    </w:p>
    <w:tbl>
      <w:tblPr>
        <w:tblW w:w="10468" w:type="dxa"/>
        <w:jc w:val="center"/>
        <w:tblLayout w:type="fixed"/>
        <w:tblLook w:val="04A0" w:firstRow="1" w:lastRow="0" w:firstColumn="1" w:lastColumn="0" w:noHBand="0" w:noVBand="1"/>
      </w:tblPr>
      <w:tblGrid>
        <w:gridCol w:w="1200"/>
        <w:gridCol w:w="1600"/>
        <w:gridCol w:w="7668"/>
      </w:tblGrid>
      <w:tr w:rsidR="00A62A3E">
        <w:trPr>
          <w:tblHeader/>
          <w:jc w:val="center"/>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Version</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Date</w:t>
            </w:r>
          </w:p>
        </w:tc>
        <w:tc>
          <w:tcPr>
            <w:tcW w:w="7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Summary</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1.4</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29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Corrected the provider list. This document credited an OPay integration that no longer exists: OPay was removed from vs_payments, the provider enumeration carries Paystack and a fake, and the only surviving mention is a frozen choices list inside an old migration. The capability it occupied is renamed to the provider registry's override seam, which is real and is what the slot is honestly worth, so the count is unchanged. Also recorded the finance abstraction layer as a consumer: it starts a collection for a guardian and reads receipts, and never confirms, books or handles a webhook, because settlement stays here. No requirement or acceptance rule changes. Reconciled to MRD v2.45.</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1.3</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27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Removed the manual seed dependency for tenants that predate automatic payout-template provisioning. Migration 0006 creates the blocked two-stage standard platform fallback only when no platform policy exists, preserving tenant and platform customization. payout_approval_health lists every active ledger entity that still cannot resolve a standard payout ladder and fails a release check until none remain. The fallback supplies a route, not approvers, so unstaffed stages still park. Reconciled to MRD v2.39. Backend evidence and 167 passing Module 18 tests only; nothing here is deployed.</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1.2</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25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Removed the standalone cash-out path and made every payout a batch workflow. Single payout POST creates a one-line batch, requires Idempotency-Key, snapshots the verified vendor destination, and submits for approval without calling the provider. Direct batch submission refuses; missing templates fail closed. The provider boundary matches the exact terminal workflow instance, rechecks locked totals and the live vendor master, requires one human checker below N500,000 and a second distinct senior checker at or above it, and rejects continue-without-approval. Adds the request replay contract, protected bank code, selective ladder migration, typed errors, and two MRD capabilities. Reconciled to MRD v2.32, Workflow FRD v1.6, and Vendor Management FRD v1.2.</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Recorded that the payout ladder is now published when a tenant's books are created rather than by a remembered command (FR-020), so the gate over the highest-risk cash-out path is on from onboarding. Section 9's open risk is resolved down to the tenants that predate the change.</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First functional baseline for Module 18, written against the backend at 3ba18f8. Records the gateway-to-ledger boundary and its idempotency discipline, virtual-account deposit booking, the failed and unattributed webhook operations with replay, the unbooked-receipt alarms, settlement reconciliation, and the payout-batch approval gate with its role-based, fail-closed seeding.</w:t>
            </w:r>
          </w:p>
        </w:tc>
      </w:tr>
    </w:tbl>
    <w:sectPr w:rsidR="009D0EA2">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21791" w14:textId="77777777" w:rsidR="009D0EA2" w:rsidRDefault="009D0EA2">
      <w:r>
        <w:separator/>
      </w:r>
    </w:p>
  </w:endnote>
  <w:endnote w:type="continuationSeparator" w:id="0">
    <w:p w14:paraId="5455C193" w14:textId="77777777" w:rsidR="009D0EA2" w:rsidRDefault="009D0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6574D"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D756A4" w14:textId="77777777" w:rsidR="009D0EA2" w:rsidRDefault="009D0EA2">
      <w:r>
        <w:separator/>
      </w:r>
    </w:p>
  </w:footnote>
  <w:footnote w:type="continuationSeparator" w:id="0">
    <w:p w14:paraId="4F82DB6D" w14:textId="77777777" w:rsidR="009D0EA2" w:rsidRDefault="009D0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C25A3"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Payments &amp; Collections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B8AC7"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Payments &amp; Collections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6DD7"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40AC7"/>
    <w:rsid w:val="00181B60"/>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547"/>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4601</Words>
  <Characters>26229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School and Branch Management Functional Requirements Document v1.1</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Workflow and Approval Engine Functional Requirements Document v1.0</dc:title>
  <dc:subject>Code-aligned functional requirements for XVS Module 1</dc:subject>
  <dc:creator>CodeX Team</dc:creator>
  <dc:description>Built from v2.2 visual template and reviewed against the current backend worktree.</dc:description>
  <cp:lastModifiedBy>Chidera Ohiaekpete</cp:lastModifiedBy>
  <cp:revision>6</cp:revision>
  <cp:lastPrinted>2026-07-17T18:03:00Z</cp:lastPrinted>
  <dcterms:created xsi:type="dcterms:W3CDTF">2026-07-17T18:03:00Z</dcterms:created>
  <dcterms:modified xsi:type="dcterms:W3CDTF">2026-08-11T15:03:00Z</dcterms:modified>
  <cp:version>1.0</cp:version>
</cp:coreProperties>
</file>