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1.6</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29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efc71d5 (29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v2.45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liability exists between the two postings, so an unpaid claim is visible on the balance sheet rather than only in a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register_entity_provisioner runs registered callables inside the transaction that creates a ledger entity, alongside the currencies, chart of accounts and fiscal periods. Finance, procurement and payments each register their own approval ladders. The finance abstraction layer provisions a school's books through this path rather than creating a ledger entity itself, which is the difference between books a school can post to and a row that fails at its first invoice with no account to post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rule lives once, in the platform scoping module, promoted from procurement's local helper rather than copied, so the two cannot drift apart. It renders a caller's branches as a filter that drops into an existing query, which serves lists, aggregates and detail lookups alike, and it is applied at 49 view methods across ten finance modules: every branch-bearing list, every summary above one, and every detail and action lookup by identifier. The inclusive reading is spelled out at every one of those call sites rather than left to the default, because getting it backwards hides rows in a way that reads as missing data rather than as a permissions error.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financial statements are not narrowed: trial balance, balance sheet, income statement, cash flow, changes in equity, the statutory pack, AR aging, AR reconciliation, the finance dashboard, budget variance and heatmap, and account activity. Ikeja's bursar opens the income statement and reads all three branches' surplus. Each of these aggregates ledger lines rather than listing rows that carry a branch of their own, which is why they were named and deferred rather than folded in half-done; Section 9 states what a fix needs.</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Nullable and not backfilled; a branch payroll run reads it exclusively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holds no ledger logic and posts nothing itself.</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Module 4 owns the rule and carries the same item at P2, and MRD v2.36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25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FR-016</w:t>
            </w:r>
          </w:p>
        </w:tc>
      </w:tr>
    </w:tbl>
    <w:p w:rsidR="00A62A3E" w:rsidRDefault="00000000">
      <w:pPr>
        <w:spacing w:after="120"/>
      </w:pPr>
      <w:r>
        <w:t>All 24 entries are traced above; the two provisioning entries were inside the count in every prior version but had never been listed. Module number, name, phase, backend and integration states and code ownership agree with MRD v2.36. The MRD's Module 19 note, Module 4's FRD v1.2 and this document agree on what is open: the branch narrowing has landed on every branch-bearing read and write here,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