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22: Procurement &amp; Requisitions</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1.4</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M22 | Procurement &amp; Requisitions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1.4</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29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efc71d5 (29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v2.45 | Module 22</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Handing a requisition to Module 7, and reacting to the outcome.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publishes its default ladders through the engine's service and reads the engine's answers;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20"/>
      </w:pPr>
      <w:r>
        <w:t>A school may or may not have branches, and both shapes must work. A requisition may carry a branch or none, and which it carries follows the raiser's role grants rather than their staff record: somebody granted at one branch stamps it, somebody granted at several who names none is refused and told to name one, and somebody holding the role for the whole school files the request school-wide. A stage declared branch-scoped resolves approvers assigned at the document's branch plus those assigned tenant-wide; an entity-level request with no branch resolves tenant-wide approvers only. An approver appointed at one site is never routed another site's request. Reads follow the same answer, and read a null branch exclusively: a purchase raised for the school as a whole belongs to the school as a whole and is not shown to staff pinned to a site, which is the opposite of the inclusive reading finance takes of the same column and is argued at each call site rather than inherited.</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and edit a requisition, check budget availability, submit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procurement.requisition.create/.update, .submit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Membership of the role the stage names, plus the queue's view key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procurement.competition.override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 this tenant's approval ladders and read the coverage report.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procurement.approval.manage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requester can describe what they need, line by line, without being able to set the totals the platform will act 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requester should learn that the budget will not cover a request before submitting it, not after approval.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budget-availability endpoint answers for the entity, optionally narrowed to a cost centre, reading the plan Module 19 owns.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Approval is not a direct endpoint on the document; it goes through the shared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submit_for_approval hands the document to Module 7, which selects the template for the scope, activates stages, and calls the registered handler back on a terminal decision. The handler flips the procurement approval state and applies the document-type effect.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submit response carries the approval block, so the client learns in the same round trip when nobody can approve what was just submitted, and what would fix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Seed the Approval Ladder Per Tenant, Blocked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must have its own rules rather than sharing one platform ladder, and provisioning must leave them closed rather than open.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ensure_tenant_approval_templates publishes a tenant-scoped ladder per document type, non-destructively, and creates the approving roles without appointing anybody. ensure_default_approval_templates publishes the platform fallback. seed_procurement_approvals is the operational half, and an endpoint offers the same to an administrator.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Re-running after an administrator customised a ladder reports it and leaves it alone; only the platform row upserts. A tenant's template wins over the platform row through the engine's own cascade. The seed now runs inside the transaction that creates a tenant's books, registered through finance's entity provisioning, so the gate arrives with the chart of accounts rather than with a remembered command.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Only tenants created after the change are covered automatically; seed_procurement_approvals remains the route for the ones before it.</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Controlled spend must never approve itself because the stage happened to resolve to nobody.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Both seeded stages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Parking must not be a trap: appointing somebody should be enough to release the document.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Appointing somebody to the approving role releases the document with no resubmission. The repair leaves a staffed stage untouched, and it never crosses a tenant boundary.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For the case where nobody can be appointed in time, there must be exactly one way out, and it must be narrow.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administrator must be able to see, before a document parks, which branch and stage nobody can staff.</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coverage report projects two things the engine already owns: the template the engine would resolve for that scope through its own cascade, and the people, resolved through the engine's own role-holder lookup.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Because it calls the same lookup routing calls, the report and live routing cannot disagree about who is eligible. Gaps are named as gaps, per branch and per stage. Only display-safe fields are returned; a person's email is never exposed.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tables are tenant-scoped, but a ledger entity is narrower, and a queue must not leak across that line.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queue adapters resolve the selected entity and verify the real procurement target behind the engine's generic reference before returning or mutating an instance. Routing, locks, eligibility, thresholds and terminal callbacks stay wholly owned by the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can ask several vendors to price the same requirement, and the terms they price must not move under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RFQ carries lines and invitations, and can be issued, amended, closed, or cancelled. Issuing freezes what the invited vendors price. Invitations can be resent and extended individually.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RFQ cannot be issued with no lines, and cannot be issued with nobody invited: one addressee is a hard floor, because an RFQ nobody received cannot be answered.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spacing w:after="0"/>
            </w:pPr>
            <w:r>
              <w:rPr>
                <w:b/>
                <w:color w:val="94670A"/>
              </w:rPr>
              <w:t xml:space="preserve">FR-011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Where policy requires several quotes, issuing with fewer must be a deliberate, recorded exception rather than an oversight.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invited vendor must be able to respond without being given a platform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tokenised public form serves the RFQ, and the vendor requests and verifies an emailed code before the form opens. They can submit, revise, acknowledge, decline, and attach documents. A quotation's supporting documents are bound to the school and to the quotation they were filed against, so reading one back requires procurement.rfq.view on that RFQ's entity and branch and a URL signed for the caller; the vendor's own view of the buying school's crest is served by the invitation route, which chooses the file from the invitation rather than letting the caller name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routes are the only unauthenticated surface in the module and are scoped by the token to one invitation. Access is proved by possession of the token and the code, not by a session.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token is as strong as the mailbox it was sent to. There is no second factor beyond the emailed code.</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winning quote must convert into a purchase order without losing the evidence of how it was chosen.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Quotations are captured, made firm on submission, and compared. Awarding converts the winner into a draft purchase order ready to be issued and received against, while the RFQ, the invitations and the losing quotations remain.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How a supplier was chosen must be reconstructable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 and the Dashboard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needs the state of their own pipeline without paging through every document.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requisition summary endpoint and an entity-scoped dashboard aggregate assembled on the server, so every block shares one as-of snapshot.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Only display-safe fields leave the dashboard; raw audit and workflow metadata is never exposed.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here; a purchase order is a separate act in Module 23.</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vendors respond on the tokenised form after verifying an emailed code. Invitations can be resent or extended.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Quotations are submitted, becoming firm offers, and compared.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Optionally raised off an approved requisition.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/v1/procurement/ and require an asserted entity, except the public vendor form. The routes below are Module 22's; vendors, orders, receiving, payables and stock on the same prefix belong to Modules 21, 23 and 24.</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raise requisitions.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Pipeline state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approval; the response carries the parked warning.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entity-safe approval inbox.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/approvals/default-templates/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 this tenant's missing ladders.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can approve, per branch and stage.</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draft requests for quotation.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compare offers.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school-facing door onto this module. It resolves the entity and the branch, checks the override right, and translates this module's refusals into typed errors; it computes no total and drives no state machine. Nothing here changes because of it: the same services run, reached by a caller that never holds a procurement model.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templates, approver resolution, routing, eligibility and the parked-approval repair. This module registers handlers, publishes its default ladders through the engine's publish service, and fences every call to the four procurement document types.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approving roles the seeded stages name and the keys the views enforce, including the two CRITICAL overrides.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budget the availability check reads, and the audit record the sourcing trail is written into.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vendors invited to quote and the catalogue lines requisitions default from.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invitations, reminders and the vendor verification code.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 seed_procurement_approvals publishes the ladders.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TWO WAYS PAST AN APPROVER, BOTH DELIBERATE</w:t>
            </w:r>
          </w:p>
          <w:p w:rsidR="00A62A3E" w:rsidRDefault="00000000">
            <w:pPr>
              <w:spacing w:after="20"/>
              <w:ind w:left="86" w:hanging="86"/>
            </w:pPr>
            <w:r>
              <w:rPr>
                <w:sz w:val="16"/>
              </w:rPr>
              <w:t xml:space="preserve">•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xml:space="preserve">•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xml:space="preserve">•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Budget availability is advisory. Nothing refuses an over-budget requisition at submission, so the check informs rather than controls.</w:t>
            </w:r>
          </w:p>
          <w:p w:rsidR="00A62A3E" w:rsidRDefault="00000000">
            <w:pPr>
              <w:spacing w:after="20"/>
              <w:ind w:left="86" w:hanging="86"/>
            </w:pPr>
            <w:r>
              <w:rPr>
                <w:sz w:val="16"/>
              </w:rPr>
              <w:t>• Tenants created before the ladders became part of provisioning still need seed_procurement_approvals run once, and nothing reports which those are.</w:t>
            </w:r>
          </w:p>
          <w:p w:rsidR="00A62A3E" w:rsidRDefault="00000000">
            <w:pPr>
              <w:spacing w:after="20"/>
              <w:ind w:left="86" w:hanging="86"/>
            </w:pPr>
            <w:r>
              <w:rPr>
                <w:sz w:val="16"/>
              </w:rPr>
              <w:t>• The competition minimum is enforced at issue only. Withdrawing invitations afterwards is not re-checked against it.</w:t>
            </w:r>
          </w:p>
          <w:p w:rsidR="00A62A3E" w:rsidRDefault="00000000">
            <w:pPr>
              <w:spacing w:after="20"/>
              <w:ind w:left="86" w:hanging="86"/>
            </w:pPr>
            <w:r>
              <w:rPr>
                <w:sz w:val="16"/>
              </w:rPr>
              <w:t>• The public vendor form is protected by a token plus an emailed code, so its security rests on the invited mailbox. There is no second factor.</w:t>
            </w:r>
          </w:p>
          <w:p w:rsidR="00A62A3E" w:rsidRDefault="00000000">
            <w:pPr>
              <w:spacing w:after="20"/>
              <w:ind w:left="86" w:hanging="86"/>
            </w:pPr>
            <w:r>
              <w:rPr>
                <w:sz w:val="16"/>
              </w:rPr>
              <w:t>• The parked-approval repair runs on read rather than on a schedule, so a parked requisition nobody opens stays parked.</w:t>
            </w:r>
          </w:p>
          <w:p w:rsidR="00A62A3E" w:rsidRDefault="00000000">
            <w:pPr>
              <w:spacing w:after="20"/>
              <w:ind w:left="86" w:hanging="86"/>
            </w:pPr>
            <w:r>
              <w:rPr>
                <w:sz w:val="16"/>
              </w:rPr>
              <w:t>• Coverage is reported on demand. Nothing schedules the check or warns an administrator that a branch has become unstaffable.</w:t>
            </w:r>
          </w:p>
          <w:p w:rsidR="00A62A3E" w:rsidRDefault="00000000">
            <w:pPr>
              <w:spacing w:after="20"/>
              <w:ind w:left="86" w:hanging="86"/>
            </w:pPr>
            <w:r>
              <w:rPr>
                <w:sz w:val="16"/>
              </w:rPr>
              <w:t>• A requisition raised school-wide is invisible to branch-pinned staff, including at the raiser's own site. That is the intended reading of a purchase for the school as a whole, and it is worth knowing before somebody reports a missing document: a holder of a school-wide buying role who meant to buy for one branch has to name it.</w:t>
            </w:r>
          </w:p>
          <w:p w:rsidR="00A62A3E" w:rsidRDefault="00000000">
            <w:pPr>
              <w:spacing w:after="20"/>
              <w:ind w:left="86" w:hanging="86"/>
            </w:pPr>
            <w:r>
              <w:rPr>
                <w:sz w:val="16"/>
              </w:rPr>
              <w:t>• Archiving an RFQ or a quotation does not retire its attachments. Only deletion raises the signal that retirement hangs off, so a quotation retired by archiving keeps its vendor paper readable to whoever procurement.rfq.view still admits.</w:t>
            </w:r>
          </w:p>
        </w:tc>
      </w:tr>
    </w:tbl>
    <w:p w:rsidR="00A62A3E" w:rsidRDefault="00000000">
      <w:pPr>
        <w:pStyle w:val="Heading1"/>
        <w:keepNext/>
        <w:pBdr>
          <w:bottom w:val="single" w:sz="14" w:space="5" w:color="355B9D"/>
        </w:pBdr>
      </w:pPr>
      <w:r>
        <w:t>10. MRD Traceability</w:t>
      </w:r>
    </w:p>
    <w:p w:rsidR="00A62A3E" w:rsidRDefault="00000000">
      <w:pPr>
        <w:spacing w:after="120"/>
      </w:pPr>
      <w:r>
        <w:t>Module 22 carries 16 capability entries in MRD v2.45.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quotation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School-facing requisition raise and submit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Typed refusals for missing rules, parked work, and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FR-004, FR-005, FR-007</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this module's school-facing consumer. A school module now raises and submits a requisition, and reads this module's refusals as typed errors, without holding a procurement model; the layer owns tenancy, branch scoping, the override right and error translation, and nothing else. No requirement, acceptance rule or service changes: the same code runs behind a new door. Module 22 moves from 13 to 16 MRD capability entries, two of them new and one a count the index had understated.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that a quotation's supporting documents are authorised per read. The files sat at a /media/ path that authenticated the caller and asked nothing else, so a competitor's sealed pricing stayed fetchable by any account on any tenant to anyone who had seen the URL. Each attachment is now bound to its school and its quotation, and a read requires procurement.rfq.view scoped to that RFQ's entity and branch, plus a signature issued to the caller. The public invitation route is unchanged and was already the safer shape: the vendor holds a token, and the file is chosen from the invitation rather than named by the caller.</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what decides the branch a requisition is raised at, now that a role granted for the whole school reaches the whole school. Branch reach was resolved partly from the grants and partly from the branch named on the raiser's staff record, and the two could disagree: a buyer holding a school-wide role whose record named Ikeja raised Ikeja's requisitions and saw Ikeja's queue, while a colleague with the identical grant and a blank record worked across the school. The grant now decides in both directions. Section 2.2 states the write rule in full - pinned to one branch stamps it, pinned to several and naming none is refused, school-wide files school-wide - and states that procurement reads a null branch exclusively, so a purchase for the school as a whole is deliberately not shown to staff pinned to a site. That consequence is added to Further Gaps as something to know rather than as a defect: a school-wide buyer who meant to buy for one branch has to name it. The v1.1 gap holding that branch scoping across the procurement chain was still being finished is removed: purchase documents carry the branch they were raised at or inherit it from the document they continue, every list, queue, summary and report narrows to the caller's branches, and stock is held per location. No requirement, permission key, route, refusal code or MRD traceability mapping changed. Reconciled to MRD v2.25.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