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1.6</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1.6</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29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efc71d5 (29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v2.45</w:t>
              <w:br/>
              <w:t>Module 23</w:t>
            </w:r>
          </w:p>
          <w:p w14:paraId="6ED54A36" w14:textId="77777777" w:rsidR="00A62A3E" w:rsidRDefault="00000000">
            <w:pPr>
              <w:spacing w:after="0"/>
            </w:pPr>
            <w:r>
              <w:rPr>
                <w:color w:val="000000"/>
                <w:sz w:val="17"/>
              </w:rPr>
              <w:t>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23 is the half of procure-to-pay that touches the books. It commits the entity with a purchase order, recognises cost when goods arrive, matches the supplier's bill against what was ordered and received, creates the payable, and settles it. Its organising control is GR/IR clearing, which is what keeps a receipt and a bill from double-counting the same cost.</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and cycle analytics.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procurement.report.view</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commitment to a supplier must be an explicit, approvable act with server-derived totals.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Emailing a purchase order must be durable and retryable rather than fire-and-forget.</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The order email is scheduled, rendered and delivered through a durable path with a preview endpoint, a per-delivery record, and an explicit retry.</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failed send is visible as a delivery record and can be retried without re-issuing the order.</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Cost belongs in the period the goods arrived, not the period the bill turned up.</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supplier's bill must be checked against what was ordered and what actually arrived before it becomes a payable.</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The same supplier invoice must not be capturable twice, and a retried submission must not create a second one.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Posting a matched bill must clear what the receipt parked and recognise what is owed.</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Paying more than is currently billed must not read as the supplier owing the entity money.</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Money already paid must be usable against a bill that arrives afterwards.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Approving a payment must not be the same act as paying it.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An approved but unposted payment has changed nothing in the books, so an approval cannot be mistaken for a disbursement.</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None.</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payment made in error must be undoable as a recorded event.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spacing w:after="0"/>
            </w:pPr>
            <w:r>
              <w:rPr>
                <w:b/>
                <w:color w:val="1F7A4D"/>
              </w:rPr>
              <w:t>FR-011 | Implemented</w:t>
            </w:r>
          </w:p>
        </w:tc>
      </w:tr>
      <w:tr w:rsidR="00A62A3E" w14:paraId="4B72414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spacing w:after="0"/>
            </w:pPr>
            <w:r>
              <w:rPr>
                <w:color w:val="000000"/>
                <w:sz w:val="17"/>
              </w:rPr>
              <w:t>A supplier on hold or failing KYC must not be payable, however the payment was raised.</w:t>
            </w:r>
          </w:p>
        </w:tc>
      </w:tr>
      <w:tr w:rsidR="00A62A3E" w14:paraId="611F28E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spacing w:after="0"/>
            </w:pPr>
            <w:r>
              <w:rPr>
                <w:b/>
                <w:color w:val="1F7A4D"/>
              </w:rPr>
              <w:t>FR-012 | Implemented</w:t>
            </w:r>
          </w:p>
        </w:tc>
      </w:tr>
      <w:tr w:rsidR="00A62A3E" w14:paraId="5E897EC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spacing w:after="0"/>
            </w:pPr>
            <w:r>
              <w:rPr>
                <w:color w:val="000000"/>
                <w:sz w:val="17"/>
              </w:rPr>
              <w:t>What is owed, to whom, for how long, and what has been received but not billed must all be answerable.</w:t>
            </w:r>
          </w:p>
        </w:tc>
      </w:tr>
      <w:tr w:rsidR="00A62A3E" w14:paraId="160DEEC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w:t>
            </w:r>
          </w:p>
        </w:tc>
      </w:tr>
      <w:tr w:rsidR="00A62A3E" w14:paraId="7A44E66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FR-013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A period must not be sealed over an unreconciled payables position.</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spacing w:after="0"/>
            </w:pPr>
            <w:r>
              <w:rPr>
                <w:b/>
                <w:color w:val="1F7A4D"/>
              </w:rPr>
              <w:t>FR-014 | Implemented</w:t>
            </w:r>
          </w:p>
        </w:tc>
      </w:tr>
      <w:tr w:rsidR="00A62A3E" w14:paraId="31212AF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spacing w:after="0"/>
            </w:pPr>
            <w:r>
              <w:rPr>
                <w:color w:val="000000"/>
                <w:sz w:val="17"/>
              </w:rPr>
              <w:t>The supplier's own invoice, and the receipt they issue once paid, must be held against the documents they belong to.</w:t>
            </w:r>
          </w:p>
        </w:tc>
      </w:tr>
      <w:tr w:rsidR="00A62A3E" w14:paraId="14FAA45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An attachment URL is a capability, not an object-level authorisation. The media endpoint can only tell that the caller is logged in, so a URL that escapes the people allowed to see the document stays fetchable. Files stored before unguessable naming keep their old predictable names.</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23 carries 22 capability entries in MRD v2.45.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