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 DOCUMENT</w:t>
              <w:br/>
              <w:t>XVision Systems - School Management System</w:t>
              <w:br/>
              <w:br/>
              <w:t>Prepared by: CodeX Team</w:t>
              <w:br/>
              <w:t>Version: 2.45</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2.45</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29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Backend worktree, the built finance abstraction layer and its 157-test run, and the full vs_finance, vs_procurement, schools.vs_schools, schools.vs_academics and schools.vs_onboarding suites (29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468</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8"/>
              </w:rPr>
              <w:t>5. v2.45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The finance abstraction layer is built, and what it changes underneath</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p w14:paraId="7F9E4181" w14:textId="77777777" w:rsidR="00472341" w:rsidRDefault="00000000">
            <w:pPr>
              <w:spacing w:after="20"/>
              <w:ind w:left="86" w:hanging="86"/>
            </w:pPr>
            <w:r>
              <w:rPr>
                <w:sz w:val="16"/>
              </w:rPr>
              <w:t>• A stored file is bound to its tenant and to the record it is evidence for, and every read is authorised against both. The URL is signed for one person and expires. Knowing a file's name is no longer sufficient to fetch it, and a model that registers no read policy is not served at all.</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vs_academics, vs_calendar, fal, vs_admin_console, vs_user, vs_rbac, vs_audit, vs_config, vs_notifications, vs_import_data, vs_workflow, vs_finance, vs_procurement, vs_payments, vs_exports, vs_todo, vs_tickets, and vs_health. The schools product carries vs_schools, vs_onboarding, vs_academics, vs_calendar and the finance abstraction layer under apps/schools/; the layer is mounted as the app fal because it owns one table, and it carries no URLs.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18</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13</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17</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22</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16</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Partial</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Complete</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16</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21</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25</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16</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22</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31</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Support Tickets</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16</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Code: vs_schools; vs_tenants foundation; schools.core.fal</w:t>
            </w:r>
            <w:r>
              <w:rPr>
                <w:color w:val="000000"/>
                <w:sz w:val="15"/>
              </w:rPr>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 through the finance abstraction layer</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p w14:paraId="68C28059" w14:textId="77777777" w:rsidR="00472341" w:rsidRDefault="00000000">
            <w:pPr>
              <w:spacing w:after="0"/>
            </w:pPr>
            <w:r>
              <w:rPr>
                <w:color w:val="000000"/>
                <w:sz w:val="16"/>
              </w:rPr>
              <w:t>▸  Authorised, expiring access to school branding files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Redacted task failure text with audited raw access</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Tenant-scoped task monitor with per-run detail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p w14:paraId="6A0B4D7F" w14:textId="77777777" w:rsidR="00472341" w:rsidRDefault="00000000">
            <w:pPr>
              <w:spacing w:after="20"/>
              <w:ind w:left="86" w:hanging="86"/>
            </w:pPr>
            <w:r>
              <w:rPr>
                <w:sz w:val="16"/>
              </w:rPr>
              <w:t>• Task-monitor scope is platform-wide or the operator's own tenant, with nothing between. A support operator cannot be confined to the schools they cover, because a platform-scoped permission cannot be granted inside a tenant role, so giving somebody one school's task runs today means giving them every school's.</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t>Authentication, invitations, account security, sessions, platform staff, and organization-position structures. Invitation and password-reset links are request-bound. Account creation now applies the same restricted-role grant ceiling as the dedicated assignment endpoints, so creating a colleague cannot be used as a quieter route to hand out authority the creator does not hold.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Tenant and role-grant boundaries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p w14:paraId="6079F0D5" w14:textId="77777777" w:rsidR="00472341" w:rsidRDefault="00000000">
            <w:pPr>
              <w:spacing w:after="0"/>
            </w:pPr>
            <w:r>
              <w:rPr>
                <w:color w:val="000000"/>
                <w:sz w:val="16"/>
              </w:rPr>
              <w:t>▸  Authorised, expiring access to staff photographs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40" w:lineRule="auto" w:before="0" w:after="100"/>
      </w:pPr>
      <w:r>
        <w:rPr>
          <w:rFonts w:ascii="Aptos Narrow" w:hAnsi="Aptos Narrow"/>
          <w:b w:val="0"/>
          <w:color w:val="000000"/>
          <w:sz w:val="18"/>
        </w:rPr>
        <w:t>Two-layer platform and school authorization with reusable permission definitions, roles, templates, assignments, and controlled overrides. Platform-only scope is enforced independently from restricted sensitivity. Restricted keys cannot enter direct role writes, groups, or ALLOW overrides; they enter a custom role only through a change request decided by a different reviewer who already holds every restricted key being granted. Branch reach remains grant-derived, and one person may hold the same role at more than one branch. Every supported role permission or group change records its actor, reason, source, approval reference where applicable, and complete before-and-after access configuration in the same transaction as the mutation.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70" w:type="dxa"/>
              <w:left w:w="120" w:type="dxa"/>
              <w:bottom w:w="70" w:type="dxa"/>
              <w:right w:w="12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5402B7" w14:textId="77777777" w:rsidR="00472341" w:rsidRDefault="00000000">
            <w:pPr>
              <w:keepNext/>
              <w:spacing w:after="0" w:before="0" w:line="240" w:lineRule="auto"/>
              <w:jc w:val="left"/>
            </w:pPr>
            <w:r>
              <w:rPr>
                <w:rFonts w:ascii="Aptos Narrow" w:hAnsi="Aptos Narrow"/>
                <w:b w:val="0"/>
                <w:color w:val="000000"/>
                <w:sz w:val="16"/>
              </w:rPr>
              <w:t>CURRENT DECISION</w:t>
              <w:br/>
              <w:t>• No material capability gap was identified within this module's stated backend scope.</w:t>
              <w:br/>
              <w:t>• Two role-grant escalations are closed at their source. Scope refuses a tenant carrying a platform-only key. Separately, a restricted key is refused on direct role writes, in permission groups, and as an ALLOW override; it may enter a custom role only through a change request decided by somebody other than the requester, and that reviewer may grant only restricted keys they already hold. Existing unverified restricted grants are removed from custom roles by migration, while trusted seeded system roles remain as the approval bootstrap.</w:t>
              <w:br/>
              <w:t>• A role granted for the whole school now reaches the whole school. The branch narrowing and the permission gate are resolved from the same grants, so a Finance Officer for the whole school is no longer narrowed to the one branch her staff record happens to name while the gate lets her act at the others. Writes follow reads: what she raises without naming a branch is filed school-wide.</w:t>
              <w:br/>
              <w:t>• The same role may now be granted at two branches. The schema always allowed it and both write paths refused it, so a teacher working at two branches could hold the role at one. Every count that reads assignments counts people rather than grant rows.</w:t>
              <w:br/>
              <w:t>• Deactivation is a runtime kill switch. A permission works only while its own row and its module, resource and action are active; a group grant additionally requires an active group. Evaluation, overrides and permission-based routing share that rule, and a durable registry revision invalidates warm permission snapshots across application workers.</w:t>
              <w:br/>
              <w:t>• Role access writes now have one authoritative boundary. Direct edits, approved requests, prebuilt provisioning and role suggestions all lock the role and write one reasoned before-and-after RBAC audit in the same transaction, so a missing audit rolls the access change back.</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 with denial protection</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p w14:paraId="35220B93" w14:textId="77777777" w:rsidR="00472341" w:rsidRDefault="00000000">
            <w:pPr>
              <w:spacing w:after="20"/>
              <w:ind w:left="86" w:hanging="86"/>
            </w:pPr>
            <w:r>
              <w:rPr>
                <w:sz w:val="16"/>
              </w:rPr>
              <w:t>• Bulk scheduling changes dates without rewriting an existing entitlement decision. An explicit denial rejects the whole batch, existing grants keep their source, and only a target with no row is created as a manual grant.</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A stage nobody can approve parks rather than auto-skipping, by default and not only where a seed remembered to say so.</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Policy-controlled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Continue-without-approval remains available only where a document handler permits it. Payouts forbid it; permitted document types still rely on audit rather than a second reviewer.</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40" w:lineRule="auto" w:before="0" w:after="100"/>
      </w:pPr>
      <w:r>
        <w:rPr>
          <w:rFonts w:ascii="Aptos Narrow" w:hAnsi="Aptos Narrow"/>
          <w:b w:val="0"/>
          <w:color w:val="000000"/>
          <w:sz w:val="18"/>
        </w:rPr>
        <w:t>Event-driven in-app and email delivery. A record is owned by the tenant of the recipient who reads it, and the tenant an event is about is kept separately as its origin. Transactional operational alarms, including Module 30 health alerts, bypass delivery preferences and use both channels. One-time invitation and reset credentials are replaced only in the delivery worker, so notification records retain a marker rather than the raw secret.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B7EB2DD" w14:textId="77777777" w:rsidR="00472341" w:rsidRDefault="00000000">
            <w:pPr>
              <w:spacing w:after="0" w:before="0" w:line="240" w:lineRule="auto"/>
              <w:jc w:val="left"/>
            </w:pPr>
            <w:r>
              <w:rPr>
                <w:rFonts w:ascii="Aptos Narrow" w:hAnsi="Aptos Narrow"/>
                <w:b w:val="0"/>
                <w:color w:val="000000"/>
                <w:sz w:val="16"/>
              </w:rPr>
              <w:t>▸  Background delivery, retries, and transactional operational alerts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Recipient-owned notification records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The academic structure module exists and is mounted, so the required checklist step it was blocking now has a backend to check against. Versions 2.9 to 2.36 carried the older claim after it had stopped being true.</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Background rollback execution</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notifications</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audit events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Authorised, expiring access to uploaded source files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dataset a school may import for itself exists yet. Students, staff and parents have no template and no model, so the school-facing import screen shows an empty table. The onboarding checklist step it serves is optional, so readiness and go-live are not blocked.</w:t>
            </w:r>
          </w:p>
          <w:p w14:paraId="38D7D122" w14:textId="77777777" w:rsidR="00472341" w:rsidRDefault="00000000">
            <w:pPr>
              <w:spacing w:after="20"/>
              <w:ind w:left="86" w:hanging="86"/>
            </w:pPr>
            <w:r>
              <w:rPr>
                <w:sz w:val="16"/>
              </w:rPr>
              <w:t>• Import notifications are the module's own rows and are not dispatched through Module 8. There is no email, no bell entry and no delivery record, and the feed requires a platform key, so the school administrator who started an import cannot read the notice about it.</w:t>
            </w:r>
          </w:p>
          <w:p w14:paraId="38D7D122" w14:textId="77777777" w:rsidR="00472341" w:rsidRDefault="00000000">
            <w:pPr>
              <w:spacing w:after="20"/>
              <w:ind w:left="86" w:hanging="86"/>
            </w:pPr>
            <w:r>
              <w:rPr>
                <w:sz w:val="16"/>
              </w:rPr>
              <w:t>• A run cannot be stopped once it has started. Cancellation covers only the statuses before execution and the row loop checks nothing, so a long import of a wrong file must finish and then be rolled back.</w:t>
            </w:r>
          </w:p>
          <w:p w14:paraId="38D7D122" w14:textId="77777777" w:rsidR="00472341" w:rsidRDefault="00000000">
            <w:pPr>
              <w:spacing w:after="20"/>
              <w:ind w:left="86" w:hanging="86"/>
            </w:pPr>
            <w:r>
              <w:rPr>
                <w:sz w:val="16"/>
              </w:rPr>
              <w:t>• Execution reads the batch's stored preview rows with no streaming path, so the practical file size is bounded by one JSON column and one in-memory list. No limit is stated or enforced.</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schools.vs_academics, mounted at /v1/academics/</w:t>
            </w:r>
          </w:p>
        </w:tc>
      </w:tr>
    </w:tbl>
    <w:p w14:paraId="338A47BC" w14:textId="77777777" w:rsidR="00472341" w:rsidRDefault="00000000">
      <w:pPr>
        <w:spacing w:line="252" w:lineRule="auto"/>
      </w:pPr>
      <w:r>
        <w:rPr>
          <w:color w:val="000000"/>
          <w:sz w:val="17"/>
        </w:rPr>
        <w:t>The academic backbone, built: school years and their terms with an activation and archive lifecycle, departments, programmes, levels with promotion links, classes and arms, subjects and the levels they are offered at, a structure tree and an overview read, and a roll-forward that copies a year's structure into the next. 258 tests. Consumed by Module 14, which points at its years, classes and subjects.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Two of the ten capabilities above are not evidenced and are why this module is Partial rather than Complete. Effective-dated structure changes: no model carries an effective_from, so a mid-year rename rewrites history rather than superseding it. And the class-subject-teacher assignment layer, which M13 FRD v2.5 withdrew deliberately - the teacher half has no permission key of its own and waits for Module 12, which leaves the timetable slot as the first and only place a person is bound to a subject. Academics-specific bulk import is also unbuilt.</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schools.vs_calendar, mounted at /v1/academics/{calendar,timetable,exams}/</w:t>
            </w:r>
          </w:p>
        </w:tc>
      </w:tr>
    </w:tbl>
    <w:p w14:paraId="0A9FA4A3" w14:textId="77777777" w:rsidR="00472341" w:rsidRDefault="00000000">
      <w:pPr>
        <w:spacing w:line="252" w:lineRule="auto"/>
      </w:pPr>
      <w:r>
        <w:rPr>
          <w:color w:val="000000"/>
          <w:sz w:val="17"/>
        </w:rPr>
        <w:t>Class scheduling, rooms, school events and conflict detection, built. Eight models and twenty-three endpoints behind eight screens: the calendar hub, events, a term view, rooms, the bell schedule, class timetables, the derived teacher timetable and exam scheduling. 144 tests. Documented by M14 FRD v3.1.</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 - teacher, room and class, across branches</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 (not built)</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 an event narrowed to levels or classes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(no notification hooks - see Needs Attention)</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Publishing a timetable notifies nobody, and that is deliberate rather than unbuilt. There is no academics notification event type, no student record and no guardian record, so the capability that read "calendar export and notification hooks" is now export alone. M14 FRD v3.1 section 7.3 withdraws the notification half explicitly; whether publication should ever notify anyone, and whom, is an open product question rather than a gap in the code.</w:t>
      </w:r>
    </w:p>
    <w:p w14:paraId="7F02F14B" w14:textId="77777777" w:rsidR="00472341" w:rsidRDefault="00000000">
      <w:pPr>
        <w:spacing w:after="20"/>
        <w:ind w:left="86" w:hanging="86"/>
      </w:pPr>
      <w:r>
        <w:rPr>
          <w:sz w:val="16"/>
        </w:rPr>
        <w:t>• There is no automatic timetable generation and there must not be a stub for one. A generator needs three facts the platform does not record: how many periods a week each subject should get, when each teacher is available, and what each teacher actually teaches. Without them it would produce an arbitrary grid wearing the authority of a machine, which an administrator would accept.</w:t>
      </w:r>
    </w:p>
    <w:p w14:paraId="7F02F14B" w14:textId="77777777" w:rsidR="00472341" w:rsidRDefault="00000000">
      <w:pPr>
        <w:spacing w:after="20"/>
        <w:ind w:left="86" w:hanging="86"/>
      </w:pPr>
      <w:r>
        <w:rPr>
          <w:sz w:val="16"/>
        </w:rPr>
        <w:t>• A teacher is identified by a role grant rather than by a staff record, because there is no staff model. Somebody who has not been given a login, or whose teacher role nobody assigned, cannot be put on a timetable. Module 12 is what closes this; nothing in this module should grow a staff table of its own in the meantime.</w:t>
      </w:r>
    </w:p>
    <w:p w14:paraId="7F02F14B" w14:textId="77777777" w:rsidR="00472341" w:rsidRDefault="00000000">
      <w:pPr>
        <w:spacing w:after="20"/>
        <w:ind w:left="86" w:hanging="86"/>
      </w:pPr>
      <w:r>
        <w:rPr>
          <w:sz w:val="16"/>
        </w:rPr>
        <w:t>• Substitution and timetable-change records are not built. A school covering an absent teacher edits the grid, which loses what the arrangement was before the change.</w:t>
      </w:r>
    </w:p>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Code: vs_finance; schools.core.fal</w:t>
            </w:r>
            <w:r>
              <w:rPr>
                <w:color w:val="000000"/>
                <w:sz w:val="15"/>
              </w:rPr>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Fee structure linked to an academic session and term</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Cohort invoice generation from a student list</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The academic half of this is now built and the student half is not. A fee structure can be tied to a real session and term, and a cohort can be billed from a list of students, both through the finance abstraction layer. A term that fee structures still bill cannot be deleted. What remains is the student side: there is no student or guardian model, so a child's billing record must still be created with a name supplied by the caller, and class-based billing waits on Module 11.</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provider-webhook, settlement, and movement services are implemented. Every payout is an idempotent, vendor-verified batch that requires human approval before Paystack or another registered provider is called.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Provider registry with per-provider overrides</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Mandatory amount-tiered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p w14:paraId="15ADB525" w14:textId="77777777" w:rsidR="00472341" w:rsidRDefault="00000000">
            <w:pPr>
              <w:spacing w:after="0"/>
            </w:pPr>
            <w:r>
              <w:rPr>
                <w:color w:val="000000"/>
                <w:sz w:val="16"/>
              </w:rPr>
              <w:t>▸  Idempotent payout request creation</w:t>
            </w:r>
          </w:p>
          <w:p w14:paraId="15ADB525" w14:textId="77777777" w:rsidR="00472341" w:rsidRDefault="00000000">
            <w:pPr>
              <w:spacing w:after="0"/>
            </w:pPr>
            <w:r>
              <w:rPr>
                <w:color w:val="000000"/>
                <w:sz w:val="16"/>
              </w:rPr>
              <w:t>▸  Verified vendor payout destination and dispatch revalidation</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CURRENT CONTROL</w:t>
              <w:br/>
              <w:t>• Every payout, including POST /payouts/, enters approval as a batch. No creation or direct-submit route calls the provider.</w:t>
              <w:br/>
              <w:t>• Low-value batches need one checker; a batch at or above N500,000 needs a distinct senior checker. Payouts cannot continue without human approval.</w:t>
              <w:br/>
              <w:t>• A data migration publishes a blocked platform fallback for entities that predate tenant provisioning, without overwriting an existing platform policy. payout_approval_health names every active entity that still cannot resolve a ladder and fails the release check.</w:t>
              <w:br/>
              <w:t>• The destination comes from a verified, active vendor master. Bank changes reset KYC and the live master is rechecked at dispatch.</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p w14:paraId="513F1F56" w14:textId="77777777" w:rsidR="00472341" w:rsidRDefault="00000000">
            <w:pPr>
              <w:spacing w:after="0"/>
            </w:pPr>
            <w:r>
              <w:rPr>
                <w:color w:val="000000"/>
                <w:sz w:val="16"/>
              </w:rPr>
              <w:t>▸  Authorised, expiring access to expense receipts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verified bank destinations, KYC reset on bank changes,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verified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Verified vendor bank details are the payout authority. The bank code is protected with the other bank fields, any bank-field change resets KYC, and payout creation and dispatch recheck the current master.</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Code: vs_procurement; vs_workflow; vs_finance; schools.core.fal</w:t>
            </w:r>
            <w:r>
              <w:rPr>
                <w:color w:val="000000"/>
                <w:sz w:val="15"/>
              </w:rPr>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r>
              <w:t>▸  Authorised, expiring access to quotation attachments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School-facing requisition raise and submit</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r>
              <w:t>▸  Typed refusals for missing rules, parked work, and override</w:t>
            </w: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Code: vs_procurement; vs_finance; vs_payments; schools.core.fal</w:t>
            </w:r>
            <w:r>
              <w:rPr>
                <w:color w:val="000000"/>
                <w:sz w:val="15"/>
              </w:rPr>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p w14:paraId="605D1215" w14:textId="77777777" w:rsidR="00472341" w:rsidRDefault="00472341">
            <w:pPr>
              <w:spacing w:after="0"/>
            </w:pPr>
            <w:r>
              <w:t>▸  Authorised, expiring access to bill and payment attachments</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School-facing receipt, supplier bill, and supplier payment</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Record, approve, then post as three explicit steps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The payment side of this portal is built and deliberately shut. The finance abstraction layer carries a parent payment bridge that starts a gateway session and reads receipts, and every call is guarded by an ownership check on the guardian-to-child link. No guardian or student model exists, so nothing can answer that check: it refuses to answer rather than returning a false no, and the bridge stays closed until Module 11 supplies the relationship and it is wired in. Build that relationship and its authorization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40" w:lineRule="auto" w:before="0" w:after="100"/>
      </w:pPr>
      <w:r>
        <w:rPr>
          <w:rFonts w:ascii="Aptos Narrow" w:hAnsi="Aptos Narrow"/>
          <w:b w:val="0"/>
          <w:color w:val="000000"/>
          <w:sz w:val="18"/>
        </w:rPr>
        <w:t>Operational health, reliability, sustained service-scoped alerts, email and in-app operator delivery,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Tenant-filterable API request analytics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10668D4" w14:textId="77777777" w:rsidR="00472341" w:rsidRDefault="00000000">
            <w:pPr>
              <w:spacing w:after="0" w:before="0" w:line="240" w:lineRule="auto"/>
              <w:jc w:val="left"/>
            </w:pPr>
            <w:r>
              <w:rPr>
                <w:rFonts w:ascii="Aptos Narrow" w:hAnsi="Aptos Narrow"/>
                <w:b w:val="0"/>
                <w:color w:val="000000"/>
                <w:sz w:val="16"/>
              </w:rPr>
              <w:t>▸  Sustained, service-scoped alert rules, active alerts, and email and in-app operator delivery</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70" w:type="dxa"/>
              <w:left w:w="120" w:type="dxa"/>
              <w:bottom w:w="70" w:type="dxa"/>
              <w:right w:w="12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9ABA583" w14:textId="77777777" w:rsidR="00472341" w:rsidRDefault="00000000">
            <w:pPr>
              <w:keepNext/>
              <w:spacing w:after="60" w:before="0" w:line="240" w:lineRule="auto"/>
              <w:jc w:val="left"/>
            </w:pPr>
            <w:r>
              <w:rPr>
                <w:rFonts w:ascii="Aptos Narrow" w:hAnsi="Aptos Narrow"/>
                <w:b/>
                <w:color w:val="355B9D"/>
                <w:sz w:val="16"/>
              </w:rPr>
              <w:t>CURRENT DECISION</w:t>
            </w:r>
          </w:p>
          <w:p>
            <w:pPr>
              <w:numPr>
                <w:ilvl w:val="0"/>
                <w:numId w:val="1"/>
              </w:numPr>
              <w:spacing w:before="0" w:after="40" w:line="240" w:lineRule="auto"/>
            </w:pPr>
            <w:r>
              <w:rPr>
                <w:rFonts w:ascii="Aptos Narrow" w:hAnsi="Aptos Narrow"/>
                <w:b w:val="0"/>
                <w:color w:val="000000"/>
                <w:sz w:val="16"/>
              </w:rPr>
              <w:t>Module 30 remains Backend Complete and Integration Complete with 13 capability entries.</w:t>
            </w:r>
          </w:p>
          <w:p>
            <w:pPr>
              <w:numPr>
                <w:ilvl w:val="0"/>
                <w:numId w:val="1"/>
              </w:numPr>
              <w:spacing w:before="0" w:after="40" w:line="240" w:lineRule="auto"/>
            </w:pPr>
            <w:r>
              <w:rPr>
                <w:rFonts w:ascii="Aptos Narrow" w:hAnsi="Aptos Narrow"/>
                <w:b w:val="0"/>
                <w:color w:val="000000"/>
                <w:sz w:val="16"/>
              </w:rPr>
              <w:t>Request error-rate and p95 rules use only the selected service's route group. A null target remains platform-wide, and a service without request metrics is refused at configuration.</w:t>
            </w:r>
          </w:p>
          <w:p>
            <w:pPr>
              <w:numPr>
                <w:ilvl w:val="0"/>
                <w:numId w:val="1"/>
              </w:numPr>
              <w:spacing w:before="0" w:after="40" w:line="240" w:lineRule="auto"/>
            </w:pPr>
            <w:r>
              <w:rPr>
                <w:rFonts w:ascii="Aptos Narrow" w:hAnsi="Aptos Narrow"/>
                <w:b w:val="0"/>
                <w:color w:val="000000"/>
                <w:sz w:val="16"/>
              </w:rPr>
              <w:t>duration_sec is a real sustained-breach clock. The first breaching evaluation stores its start, a clearing evaluation resets it, and an incident opens only after the full duration.</w:t>
            </w:r>
          </w:p>
          <w:p>
            <w:pPr>
              <w:numPr>
                <w:ilvl w:val="0"/>
                <w:numId w:val="1"/>
              </w:numPr>
              <w:spacing w:before="0" w:after="40" w:line="240" w:lineRule="auto"/>
            </w:pPr>
            <w:r>
              <w:rPr>
                <w:rFonts w:ascii="Aptos Narrow" w:hAnsi="Aptos Narrow"/>
                <w:b w:val="0"/>
                <w:color w:val="000000"/>
                <w:sz w:val="16"/>
              </w:rPr>
              <w:t>A firing alert resolves active platform.health.manage holders and creates both email and in-app notification records through Module 8. Email uses its existing worker retries and terminal delivery history.</w:t>
            </w:r>
          </w:p>
          <w:p>
            <w:pPr>
              <w:numPr>
                <w:ilvl w:val="0"/>
                <w:numId w:val="1"/>
              </w:numPr>
              <w:spacing w:before="0" w:after="40" w:line="240" w:lineRule="auto"/>
            </w:pPr>
            <w:r>
              <w:rPr>
                <w:rFonts w:ascii="Aptos Narrow" w:hAnsi="Aptos Narrow"/>
                <w:b w:val="0"/>
                <w:color w:val="000000"/>
                <w:sz w:val="16"/>
              </w:rPr>
              <w:t>Rule-row locking and one-firing-alert uniqueness prevent overlapping evaluators from duplicating incidents. Human incident references are UUID-backed.</w:t>
            </w:r>
          </w:p>
          <w:p>
            <w:pPr>
              <w:numPr>
                <w:ilvl w:val="0"/>
                <w:numId w:val="1"/>
              </w:numPr>
              <w:spacing w:before="0" w:after="40" w:line="240" w:lineRule="auto"/>
            </w:pPr>
            <w:r>
              <w:rPr>
                <w:rFonts w:ascii="Aptos Narrow" w:hAnsi="Aptos Narrow"/>
                <w:b w:val="0"/>
                <w:color w:val="000000"/>
                <w:sz w:val="16"/>
              </w:rPr>
              <w:t>One material evidence gap remains: per-service uptime windows return 100 percent when no daily rollup exists. FR-006 in Module 30 FRD v1.0 requires unknown or absent instead.</w:t>
            </w:r>
          </w:p>
          <w:p>
            <w:pPr>
              <w:numPr>
                <w:ilvl w:val="0"/>
                <w:numId w:val="1"/>
              </w:numPr>
              <w:spacing w:before="0" w:after="40" w:line="240" w:lineRule="auto"/>
            </w:pPr>
            <w:r>
              <w:rPr>
                <w:rFonts w:ascii="Aptos Narrow" w:hAnsi="Aptos Narrow"/>
                <w:b w:val="0"/>
                <w:color w:val="000000"/>
                <w:sz w:val="16"/>
              </w:rPr>
              <w:t>Verification completed with 37 Module 30 tests and 107 Module 8 tests.</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p w14:paraId="5D228D98" w14:textId="77777777" w:rsidR="00472341" w:rsidRDefault="00000000">
            <w:pPr>
              <w:spacing w:after="0"/>
            </w:pPr>
            <w:r>
              <w:t>▸  Ticket files stay on their own visibility-checked route</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Closed. The onboarding checklist, readiness, go-live gate and expiry window are built, and Module 13 is now mounted at /v1/academics/, so the step that completed on the school's word can be machine-checked. Module 13 remains Partial for reasons unrelated to onboarding.</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school-facing billing. The finance side of that wait is now shorter: the finance abstraction layer gives these modules a typed contract over billing, payments and procurement, so they no longer need the finance schema. Academic structure and the calendar are built; students and staff are not, and the parent portal's ownership check has nothing to consult until they are.</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Revoking evidence when a record is archived</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Deleting a record now closes its files and empties the bytes, and replacing an upload retires the one it replaced. Archiving does neither, because only deletion raises the signal the retirement hangs off, and this platform increasingly archives rather than deletes. core.media.revoke exists for a caller that retires a record by archiving it; nothing calls it yet, so an archived claim's receipt stays readable to anyone its permission still admits.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M10, M19, M22, M23</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Unsupported uptime certainty</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Return unknown or no value for every per-service uptime window without daily rollup evidence and add empty-history monitor and SLO regression coverage.</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M30</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300" w:after="160" w:line="240" w:lineRule="auto"/>
      </w:pPr>
      <w:r>
        <w:rPr>
          <w:rFonts w:ascii="Aptos Narrow" w:hAnsi="Aptos Narrow"/>
          <w:b/>
          <w:color w:val="000000"/>
          <w:sz w:val="34"/>
        </w:rPr>
        <w:t>5. v2.45 Documentation Delta</w:t>
      </w:r>
    </w:p>
    <w:p w14:paraId="4C4A5E5A" w14:textId="77777777" w:rsidR="00472341" w:rsidRDefault="00000000">
      <w:pPr>
        <w:spacing w:after="100" w:line="240" w:lineRule="auto" w:before="0"/>
      </w:pPr>
      <w:r>
        <w:rPr>
          <w:rFonts w:ascii="Aptos Narrow" w:hAnsi="Aptos Narrow"/>
          <w:b w:val="0"/>
          <w:color w:val="000000"/>
          <w:sz w:val="18"/>
        </w:rPr>
        <w:t>This revision records the finance abstraction layer: the typed boundary school modules use to reach billing, payments and procurement without touching the finance schema. It is built, tested, and has one caller. It changes no endpoint and no module status, so what follows is the ownership, dependency and gap movement underneath.</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blHeader w:val="true"/>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FFFFFF"/>
                <w:sz w:val="16"/>
              </w:rPr>
              <w:t>v2.45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FFFFFF"/>
                <w:sz w:val="16"/>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FFFFFF"/>
                <w:sz w:val="16"/>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School books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Rerouted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School creation still provisions a set of books, and now asks the abstraction layer for them instead of calling finance directly. Same outcome, one translation point. A tenant that somehow holds two candidate sets of books is now refused rather than silently given the older one.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Billing periods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Linked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A fee structure can be tied to a real academic session and term by foreign key, so a term in use for billing cannot be deleted and an invoice period label is read rather than remembered. Student-level billing still waits on Module 11.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Parent payment bridge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Built, shut</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6"/>
              </w:rPr>
              <w:t>Module 28's payment bridge exists and refuses every call, because no guardian-to-child link exists for it to check. It fails closed and says so rather than answering no on a relationship nobody has recorded.</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fail closed; payout routing now has an automatic platform fallback and a release check that names any uncovered entity.</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mandatory, amount-tiered, vendor-verified, and idempotent.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and Staff Management before dependent modules. Academic Structure is built and Timetable &amp; Calendar now stands on it; Staff Management is the one that most limits what Timetable can check, because a teacher is currently a role grant rather than a person with hours, a specialism and a qualification.</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Attendance and Gradebook using the shared identity, workflow, notification and export engines. Timetable is built and registers its own export datasets; it emits no notification, deliberately.</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 The finance abstraction layer is the connection point for the billing, dashboard, reporting and procurement halves of this step, so those modules build against a typed contract rather than the finance schema.</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finance abstraction layer, built at apps/schools/core/fal and mounted as the app fal. Seven components give the school modules a typed contract over billing, payments and procurement; school creation now provisions its books through it; a fee structure can be tied to a real academic session and term by foreign key, so a term in use for billing is protected from deletion; procurement records, approves and posts a supplier bill or payment as three explicit steps, because the engine will not post unapproved spend; and Module 28's payment bridge is built but fails closed until a guardian-to-child link exists. Updated code ownership for Modules 1, 17, 22 and 23, the capability counts for Modules 17, 22 and 23, and the academic-foundation priority gap. No module status changed. Separately, recounted the capability entries from the module tables: the index column had drifted in eight modules and Document Control agreed with neither it nor the tables, so the total falls from 484 to 468 because it was overstated, not because any capability was removed. Rebuilt the module index's last row, which carried no run formatting and rendered a third larger and in the wrong colour. Corrected Module 18, which still credited an OPay integration that no longer exists in vs_payments; the slot now names the provider registry's override seam, so the count is unchanged. Rebuilt the last row of the priority-gap table, which had the same missing formatting as the index's. Reconciled to the affected module FRDs, which advance in the same change: M01 to v1.15, M13 to v2.9, M17 to v1.1, M18 to v1.4, M19 to v1.6, M22 to v1.4 and M23 to v1.6.</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Module 6 bulk entitlement scheduling defect. The operation now refuses any selected explicit denial before applying changes, preserves the state and source of every existing grant, and assigns GRANTED plus MANUAL only when it creates a new row. A rejected selection leaves the full atomic batch unchanged. Module 6 remains Backend Complete and Integration Complete with 20 capability entries; module status, capability count, priority gaps, and build order are unchanged. No Module 6 FRD exists to reconcile. Backend evidence and 68 passing Module 6 tests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Created the first Module 30 System Health &amp; Monitoring FRD and reconciled its requirements, endpoints, data contracts, scheduled work, dependencies, and all 13 MRD capabilities. The review identified one existing evidence defect: a per-service uptime monitor reports 100 percent when no daily rollup exists, while the global uptime contract correctly returns no value without evidence. Module 30 remains Backend Complete and Integration Complete with one current P1 gap. The module count and 484 capability entries are unchanged. Reconciled to Module 30 FRD v1.0. Backend evidence and the existing passing 37-test Module 30 and 107-test Module 8 runs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Made Module 30 alerts operational rather than dashboard-only. A sustained rule breach now opens one incident and dispatches the transactional health.alert_fired event to active platform operators holding platform.health.manage, creating both an immediate in-app record and a queued email record with the existing retry and delivery-history lifecycle. Request error-rate and p95 rules now restrict their metrics to the selected service routes, unsupported service and metric combinations are refused, and duration_sec is backed by persisted breach-start state rather than an aggregate window. Rule-row locking and a conditional unique constraint prevent duplicate firing alerts, while incident references are UUID-backed. Modules 8 and 30 remain Backend Complete and Integration Complete with 22 and 13 capability entries. Reconciled to Notifications FRD v1.4. Backend evidence and passing 37-test Module 30 and 107-test Module 8 runs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Separated Module 30's health analytics scope from the mandatory tenant authentication assertion. ?tenant=&lt;slug&gt; remains the authenticated context, while ?for_tenant=&lt;slug or id&gt; now narrows the overview request series, golden signals, API endpoint rows, and status-code series. A scope naming no tenant returns HTTP 400 instead of silently widening to global analytics. The API endpoint view resolves the scope once and reuses the numeric tenant ID for both its table and chart. Real-JWT regression tests cover slug and numeric filters, invalid scope, and the unfiltered platform view. Module 30 remains Backend Complete and Integration Complete with thirteen capability entries. No priority gap or build order changed. Backend evidence and 31 passing Module 30 tests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2.40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unaudited direct-role edit path in Module 4. Permission and group changes now cross one set_role_access transaction that locks the role, validates the final combined set, preserves unchanged rows, bumps the role version when access changes, and writes the authoritative RBACAuditLog before commit. The event names the actor, reason, direct grant and deny keys, group IDs, effective combined keys, before and after values, source, and any approval reference. Direct API edits now require a reason, while an approved restricted change uses the request justification and ID. Prebuilt and suggested role provisioning, plus Super Admin permission reconciliation, use the same boundary. The row-level group signals that produced detach-only history were removed. Module 4 remains Backend Complete and Integration Complete with seventeen capability entries.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manual-backfill dependency left behind by payout approval hardening. A non-destructive migration now publishes the blocked standard platform ladder when no platform policy exists, so active entities that predate automatic tenant provisioning inherit a safe route. Existing platform and tenant policy remains administrator-owned. A read-only payout_approval_health command resolves policy through the same workflow cascade used by submission, lists every uncovered active ledger entity, and fails the release check until the list is empty. The fallback does not invent approvers: an unstaffed stage still parks and role staffing remains a separate workflow health concern. Module 18 stays Backend Complete and Integration Partial with 21 capability entries. Reconciled to Payments FRD v1.3. Backend evidence and 167 passing Module 18 tests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permission-deactivation gap in Module 4. A grant now confers authority only while its Permission and the PermissionModule, PermissionResource and PermissionAction behind it are active; a group grant additionally requires an active PermissionGroup. Direct roles, groups, personal overrides, group-based gates and permission-based routing use the same predicate. A PostgreSQL-backed registry revision invalidates warm evaluator snapshots across application workers, and affected role versions advance when a registry switch changes. Routing now also refuses inactive roles and legacy restricted ALLOW overrides, so the nominated audience cannot disagree with the authorization gate. Module 4 remains Backend Complete and Integration Complete with seventeen capability entries.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August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Module 14 as built and corrected Module 13, which this document had described as unbuilt for twenty-eight versions after it stopped being so. Timetable &amp; Calendar ships as schools.vs_calendar: eight models and twenty-three endpoints behind eight screens - the calendar hub, events, a term view, rooms, the bell schedule, class timetables, the derived teacher timetable and exam scheduling - with 144 tests. Its three clash rules run over the whole tenant rather than inside the caller's visible branches, because a person cannot be at two branches at once however the school's permissions are arranged; what varies is the detail, and a clash reaching a branch the caller cannot see names the day and the period and neither the other class nor the other room nor any branch id. A clash never refuses a write and the single refusal is on publication, which is why the slot table carries no uniqueness constraint over a teacher or a room. Module 14 moves to Backend Complete with 12 capability entries, and one of them is withdrawn rather than carried forward: "calendar export and notification hooks" becomes export alone, since there is no academics event type, no student record and no guardian record, and both the module's FRD and its design brief forbid the notification half by name. Module 13 moves from Planned to Partial with schools.vs_academics named as its code; effective-dated structure changes and the class-subject-teacher assignment layer are the two capabilities that keep it short of Complete, the second deliberately, because M13 FRD v2.5 withdrew it to wait for Module 12. The onboarding priority gap that Module 13 was blocking closes, and the build order drops Academic Structure and Timetable from what remains. academics.calendar.* - four keys seeded, grouped and granted since M13 and used by nothing - is now what the calendar half runs on, and a new academics.timetable resource adds five more with prebuilt-role defaults and the backfill. The document moves from 462 to 484 capability entries. Reconciled to M14 FRD v3.1.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Stopped a stored file's name from being its password. The row behind /media/&lt;name&gt; carried no tenant, no owner and no state, so the endpoint could only ask whether the caller was signed in and the name was the credential - fetchable by any account on any tenant, for ever, whatever had since happened to the record it came from. Files are now bound to a tenant and to the record they are evidence for; reads are refused unless the session, a signature issued to that caller, the file's tenant and the owning record's registered policy all agree, and every refusal is a 404 so the route never confirms a name exists. There is no default policy, so adding a file field can no longer publish it. Deleting a record, or replacing its upload, closes the URL and empties the bytes; a migration binds the media already on the server and leaves orphans unreadable. Archiving still does not revoke, which is recorded as a new P2. Reconciled to School &amp; Branch FRD v1.14, Identity FRD v1.5, Bulk Data Import FRD v1.1, Finance FRD v1.5, Procurement FRD v1.3, Purchase Orders FRD v1.5 and Support Tickets FRD v1.4.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26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Repaired a background-task table that had never returned a row, and corrected the parameter that broke it. ?tenant= is the tenant assertion the authentication layer requires - a slug naming who is asking - and two surfaces also read it as a row filter. Module 30's health task list filtered tenant_id, an integer foreign key, by that slug, so the query raised and the screen answered HTTP 500 to every caller since it shipped while reading "No background jobs recorded yet" over a table that held them; this is the same shape as the password-reset queue repaired in v2.21. Module 2's cross-tenant task list, added in v2.34, had the same conflation without the exception: a Super Admin holding platform.tasks.view_all would have asserted their own tenant like everybody else and seen the platform's own jobs instead of every school's, and it is corrected before the key was granted to anyone. The filter is now ?for_tenant= through core.tenant_filters. Both modules keep their status, capability counts and integration states; no priority gap or build order changed. Reconciled to Admin Console FRD v1.3.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26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task monitor's open door and stopped storing what it exposed. The engine-room list was gated on Django's is_staff flag - a marker of Django-admin login that every CodeX account carries - through a second IsVisionStaff class that shadowed the platform's real one, so the call site read as the platform boundary while asking a far weaker question. It returned every tenant's runs carrying each row's result, error and full traceback, and a Postgres duplicate-key error quotes the value that collided, so a guardian's email address rendered on that screen for a new sales hire with no role at all. Three seeded keys now govern it, the list carries metadata only, and failure text is redacted where every task finishes - which cleaned the owner's completion notification and the school-facing queue without either being edited. The raw text is not lost: it moved to an audited store kept 400 days, opened one run at a time by the Super Admin's key. Module 2 gains two capability entries and one current gap, the coarse scope that remains. It keeps its Complete status; no priority gap or build order changed. Reconciled to Admin Console FRD v1.2, RBAC FRD v1.4 and Audit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26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Gave every notification record to the tenant that reads it. One column on the notification row was answering two questions - which tenant the message was about, and which tenant may read it - and support tickets are the first flow where those are different parties. A school's ticket dispatched to platform triage staff wrote records owned by the school, so the agent's own in-app feed filtered them out and the whole in-app channel was dead for ticket events, while the school's delivery history returned them: an administrator holding the history key could read the subject and body of a message written for platform support, including the text of an internal note. Ownership now follows the recipient, the originating tenant is recorded separately and returned by no serializer or filter, and recipients are grouped by owning tenant so each side's own channel settings decide what reaches it. A reversible migration moves the records already written, which is the part that matters: the notes were already sitting in schools' logs. Module 8 gains one capability and the document moves from 452 to 453 entries. Modules 8 and 31 keep their backend and integration states, and no priority gap or build order changed. Reconciled to Notifications FRD v1.3 and Support FRD v1.3.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single-payout maker-checker bypass and removed direct provider submission for every payout shape. Single payouts are now one-line batches submitted to Module 7; missing templates fail closed; the provider boundary requires the exact terminal approved instance and distinct human votes, with a second senior checker at or above N500,000. Payout creation requires an entity-scoped idempotency key and rejects changed-payload replays. Beneficiary details come from an active, verified vendor master, bank changes reset KYC, and dispatch rechecks the live master and locked batch totals. Module 18 gains two capability entries, taking the document from 450 to 452. Modules 7, 18, and 21 keep their backend and integration states. Reconciled to Workflow FRD v1.6, Payments FRD v1.2, and Vendor Management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Closes the approval engine's unsafe default, carried as a P1 against Module 7 since v2.9. A stage published without skip_if_no_approvers auto-skipped when nobody could approve it, so the money ladders were safe only because each seed set the flag by hand. That mattered more than it read: a tenant may publish its own full version of a central ladder, and an editor changing one threshold does not resend the fields it is not changing, so a payout ladder could quietly become one that dispatched unapproved. The default is now False on both the model and the publish service; an unstaffed stage parks and auto-skipping must be asked for by name. Existing stages are untouched. Also removes the engine's generic submit route, which loaded a document by content type and primary key with no tenant filter, and the permission key that gated it; submission now refuses a document belonging to another tenant. Module 7 keeps its capability entries and Complete status; the P1 leaves Priority Gaps and the recommended build order. Reconciled to Workflow FRD v1.5.</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 import rollback and gave it a background path. Reversal read the recorded primary key and assumed every one of them named a School: branch, user and school ids are three independent sequences through the same integers, so rolling back a four-row branches import left the branches in place, deleted whichever schools held ids 9 to 12, and stamped the job rolled back successfully. Reversal is now dispatched on the row's target model through a registry that refuses an unregistered model and refuses a row that only updated a record; each reverser locks its target and re-checks the slug, branch name or email the row recorded before deleting anything; and branch ownership is checked against the school the row named rather than the batch's tenant, which is always CodeX for these datasets. A school rollback now removes the tenant, and refuses the moment that tenant holds anything school creation did not write, including any account that has ever signed in. Rollbacks report per row rather than as a count: anything short of a full reversal leaves the job partially rolled back, names the rows it could not reverse, and can be retried once the blocker is cleared. Past fifty reversible rows the work moves to a tracked background job, which also fixes a latent break in that task, and admin contact cards left pointing at nothing are swept with the record. Module 10 gains one capability and the document moves from 449 to 450 entries. Module 10 stays Backend Complete and Integration Complete, and its clean bill is replaced by four needs-attention items found while writing its first FRD, none of them a new defect: no dataset a school may import for itself, import notices that never reach Module 8, a run that cannot be stopped once started, and an unbounded file size. No priority gap or build order changed. Module 10 gains its first FRD at v1.0.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restricted-permission self-grant path. Ordinary role changes remain direct, but restricted additions now require TenantRoleChangeRequest, the separate school.roles.approve or platform.roles.approve key, a reviewer other than the requester, and a ceiling that permits only restricted keys the reviewer already holds. Direct role writes, permission groups and ALLOW overrides cannot introduce restricted keys; assignment, replacement, account creation and draft submission enforce the same ceiling. Migration 0009 removes unverified restricted grants from custom roles, groups and ALLOW overrides while preserving seeded system-role bootstrap grants. Module 4 remains Complete and Module 3 remains Partial on MFA and tenant lifecycle. The document stays at 449 capabilities, with priorities and build order unchanged. Reconciled to RBAC FRD v1.3 and Identity FRD v1.4.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Document-only patch. Retired the word branch from the text describing current behaviour, in favour of branch. Branch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branches held one balance and one average cost per item and an issue at one branch could draw against stock standing at the other, because the availability check measured the entity total. A stock location is now a first-class record with an optional branch,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branch's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v2.44</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v2.44</dc:title>
  <dc:subject>Bulk entitlement scheduling denial and ownership protection</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2.44</cp:version>
</cp:coreProperties>
</file>