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1.21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1.21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8 September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v2.53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v2.66, with nineteen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Queued from inside the savepoint, it handed the worker an invitation id the database had not published, so a worker that started first sent nothing while the administrator link already read SENT, and a creation that rolled back afterwards could still email an activation link for an account that no longer existed.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and subscription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PackagePlanModuleDepth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module a plan reaches differently from the rest</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plan, its depth per module, the bands each depth reaches, and whether the plan default, a plan exception or an uplift decided it.</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Move the school onto another plan and re-grant every module in the same transaction. The plan it is already on is refused.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 a time-boxed depth uplift for one module. A reason is required.</w:t>
            </w:r>
          </w:p>
        </w:tc>
      </w:tr>
      <w:tr>
        <w:trPr>
          <w:cantSplit/>
        </w:trP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/v1/i/{slug}/plan/uplifts/{capability}/</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platform.schools.manage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Withdraw an uplift, returning the module to the depth its plan pays for.</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to the plan already held</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Plan change by a school's own administrator</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403</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naming a band rather than a module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r>
        <w:trPr>
          <w:cantSplit/>
        </w:trP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Uplift with no reason, or an expiry in the past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400</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color w:val="355B9D"/>
                <w:sz w:val="16"/>
              </w:rPr>
              <w:t>Nothing prices the plan</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v2.50 to the controlling functional requirement in this FRD. All eighteen entries remain represented. Transactional proxy shutdown strengthens the existing status and lifecycle capability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setting one depth for every module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 school's plan, read and changed from the console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v1.21</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1.21</cp:version>
</cp:coreProperties>
</file>