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2.69</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2.69</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8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change making every school-facing surface read the plan the gate enforces, moving bulk import onto every plan, and removing the module selection from school creation (9 September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492</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v2.69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Every school-facing surface reads the plan the gate enforces</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50262E0" w14:textId="77777777" w:rsidR="00472341" w:rsidRDefault="00000000">
            <w:pPr>
              <w:spacing w:after="0" w:before="0" w:line="240" w:lineRule="auto"/>
              <w:jc w:val="center"/>
            </w:pPr>
            <w:r>
              <w:rPr>
                <w:rFonts w:ascii="Aptos Narrow" w:hAnsi="Aptos Narrow"/>
                <w:b w:val="0"/>
                <w:color w:val="000000"/>
                <w:sz w:val="14"/>
              </w:rPr>
              <w:t>21</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7C8A68" w14:textId="77777777" w:rsidR="00472341" w:rsidRDefault="00000000">
            <w:pPr>
              <w:spacing w:after="0" w:before="0" w:line="240" w:lineRule="auto"/>
              <w:jc w:val="center"/>
            </w:pPr>
            <w:r>
              <w:rPr>
                <w:rFonts w:ascii="Aptos Narrow" w:hAnsi="Aptos Narrow"/>
                <w:b w:val="0"/>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E5FBCB" w14:textId="77777777" w:rsidR="00472341" w:rsidRDefault="00000000">
            <w:pPr>
              <w:spacing w:after="0" w:before="0" w:line="240" w:lineRule="auto"/>
              <w:jc w:val="center"/>
            </w:pPr>
            <w:r>
              <w:rPr>
                <w:rFonts w:ascii="Aptos Narrow" w:hAnsi="Aptos Narrow"/>
                <w:b w:val="0"/>
                <w:color w:val="000000"/>
                <w:sz w:val="14"/>
              </w:rPr>
              <w:t>21</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FFE211" w14:textId="77777777" w:rsidR="00472341" w:rsidRDefault="00000000">
            <w:pPr>
              <w:spacing w:after="0" w:before="0" w:line="240" w:lineRule="auto"/>
              <w:jc w:val="center"/>
            </w:pPr>
            <w:r>
              <w:rPr>
                <w:rFonts w:ascii="Aptos Narrow" w:hAnsi="Aptos Narrow"/>
                <w:b w:val="0"/>
                <w:color w:val="000000"/>
                <w:sz w:val="14"/>
              </w:rPr>
              <w:t>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FD1799B" w14:textId="77777777" w:rsidR="00472341" w:rsidRDefault="00000000">
            <w:pPr>
              <w:spacing w:after="0" w:before="0" w:line="240" w:lineRule="auto"/>
              <w:jc w:val="center"/>
            </w:pPr>
            <w:r>
              <w:rPr>
                <w:rFonts w:ascii="Aptos Narrow" w:hAnsi="Aptos Narrow"/>
                <w:b w:val="0"/>
                <w:color w:val="000000"/>
                <w:sz w:val="14"/>
              </w:rPr>
              <w:t>26</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8BFD5D7" w14:textId="77777777" w:rsidR="00472341" w:rsidRDefault="00000000">
            <w:pPr>
              <w:spacing w:after="0" w:before="0" w:line="240" w:lineRule="auto"/>
              <w:jc w:val="center"/>
            </w:pPr>
            <w:r>
              <w:rPr>
                <w:rFonts w:ascii="Aptos Narrow" w:hAnsi="Aptos Narrow"/>
                <w:b w:val="0"/>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CEFF3"/>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AE21702" w14:textId="77777777" w:rsidR="00472341" w:rsidRDefault="00000000">
            <w:pPr>
              <w:spacing w:after="0" w:before="0" w:line="240" w:lineRule="auto"/>
              <w:jc w:val="center"/>
            </w:pPr>
            <w:r>
              <w:rPr>
                <w:rFonts w:ascii="Aptos Narrow" w:hAnsi="Aptos Narrow"/>
                <w:b w:val="0"/>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F3AF83" w14:textId="77777777" w:rsidR="00472341" w:rsidRDefault="00000000">
            <w:pPr>
              <w:spacing w:after="0" w:before="0" w:line="240" w:lineRule="auto"/>
              <w:jc w:val="center"/>
            </w:pPr>
            <w:r>
              <w:rPr>
                <w:rFonts w:ascii="Aptos Narrow" w:hAnsi="Aptos Narrow"/>
                <w:b w:val="0"/>
                <w:color w:val="000000"/>
                <w:sz w:val="14"/>
              </w:rPr>
              <w:t>19</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2994902" w14:textId="77777777" w:rsidR="00472341" w:rsidRDefault="00000000">
            <w:pPr>
              <w:spacing w:after="0" w:before="0" w:line="240" w:lineRule="auto"/>
              <w:jc w:val="center"/>
            </w:pPr>
            <w:r>
              <w:rPr>
                <w:rFonts w:ascii="Aptos Narrow" w:hAnsi="Aptos Narrow"/>
                <w:b w:val="0"/>
                <w:color w:val="000000"/>
                <w:sz w:val="14"/>
              </w:rPr>
              <w:t>23</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0A20CBA" w14:textId="77777777" w:rsidR="00472341" w:rsidRDefault="00000000">
            <w:pPr>
              <w:spacing w:after="0" w:before="0" w:line="240" w:lineRule="auto"/>
              <w:jc w:val="center"/>
            </w:pPr>
            <w:r>
              <w:rPr>
                <w:rFonts w:ascii="Aptos Narrow" w:hAnsi="Aptos Narrow"/>
                <w:b w:val="0"/>
                <w:color w:val="000000"/>
                <w:sz w:val="14"/>
              </w:rPr>
              <w:t>23</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Commercial lifecycle controls, subscription pricing,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val="0"/>
                <w:color w:val="000000"/>
                <w:sz w:val="16"/>
              </w:rPr>
              <w:t>NEEDS ATTENTION</w:t>
              <w:br/>
              <w:t>• School lifecycle is still incomplete. Implemented School and onboarding status transitions now close active impersonation sessions transactionally, and session start takes the same Tenant lock, so reactivation cannot revive an old proxy. Operator suspension, reactivation and recoverable soft delete for commercial reasons remain missing, and ordinary login-session revocation is still undefined.</w:t>
              <w:br/>
              <w:t>• Define closed-Branch access rules and prevent destructive deletion where dependent records exist.</w:t>
              <w:br/>
              <w:t>• A plan no longer caps a school's size. The student, teacher and administrator ceilings were stored and read by nothing, and the branch ceiling was enforced on both creation paths, so the cheapest tier refused a proprietor the fourth site she had planned for months. All four are removed and size is priced rather than fenced, which leaves the depth wall as the only thing that moves a school up a tier.</w:t>
              <w:br/>
              <w:t>• Nothing yet prices it. The plan carries no rate, no floor and no billing unit, and no term headcount is taken from the student register, so what a school is charged is still decided outside the platform.</w:t>
              <w:b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and both emails are queued after the row they carry commits rather than from inside its transaction. Invitations name the inviter and tenant workspace and explain their seven-day, one-time link. Password-reset mail now names the account and workspace, distinguishes self-service from an administrator request, and reports the exact expiry from the reset row instead of a hard-coded duration. Account creation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The registry requires that scope when a key is created, and its module, resource and action identity cannot be renamed through a supported update. Each permission records the product capability that governs it, and a second gate refuses a request the caller's role allows but the school's plan does not reach, with a refusal of its own.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procurement and payments</w:t>
            </w:r>
          </w:p>
          <w:p w14:paraId="06A753C5" w14:textId="77777777" w:rsidR="00472341" w:rsidRDefault="00000000">
            <w:pPr>
              <w:spacing w:after="0"/>
            </w:pPr>
            <w:r>
              <w:rPr>
                <w:color w:val="000000"/>
                <w:sz w:val="16"/>
              </w:rPr>
              <w:t xml:space="preserve"/>
            </w:r>
          </w:p>
          <w:p w14:paraId="06A753C5" w14:textId="77777777" w:rsidR="00472341" w:rsidRDefault="00000000">
            <w:pPr>
              <w:spacing w:after="0"/>
            </w:pPr>
            <w:r>
              <w:rPr>
                <w:color w:val="000000"/>
                <w:sz w:val="16"/>
              </w:rPr>
              <w:t>▸  Reserved approval-role keys refused at role creation</w:t>
            </w:r>
          </w:p>
        </w:tc>
      </w:tr>
      <w:tr w:rsidR="00472341" w14:paraId="710CD5E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b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b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b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b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b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b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8349AC4"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br/>
              <w:t>• Bulk scheduling changes dates without rewriting an existing entitlement decision. An explicit denial rejects the whole batch, existing grants keep their source, and only a target with no row is created as a manual grant.</w:t>
              <w:br/>
              <w:t>• A module is sold whole and used in slices. The catalogue is two levels deep: a module is what a school holds, and a band is that module cut at Core, Plus or Advanced. A band is never granted on its own; it answers when the depth on its module's grant reaches it, so moving a feature between bands is one field on one row and every school sees it on the next request, with nothing rewritten per tenant. A grant that names no depth reaches every band, which is what every grant written before depth existed means and why a missing depth cannot be read as the shallowest one.</w:t>
              <w:br/>
              <w:t>• An uplift given for a deal is a row of its own, with its own dates. Ending it on the entitlement would end the grant rather than the uplift, taking the whole module away instead of returning the school to the tier it actually pays for. It only ever adds, so a school that upgrades past an old uplift is not demoted by a row nobody deleted.</w:t>
              <w:br/>
              <w:t>• A capability can now be retired without being deleted. The catalogue could add and update but never archive, so a row that stopped describing anything sellable stayed active for ever. Vendors was the first: it was a module, then briefly a Core band of Procurement, and a second Core band beside Procurement's own was a distinction nothing could act on, because a school reaching one always reached the other. Its keys moved to Procurement's Core band and the row is archived, not removed, since entitlements, overrides and audit history point at it.</w:t>
              <w:br/>
              <w:t>• Three more capability rows are retired. The platform module's generic bands held no permission keys and structurally never would, because that module's keys live in named siblings at the same depth: email alerts at Core, bulk import and data export at Plus. An empty band is not by itself a reason to retire one, and the seeder now records the difference: Attendance, Gradebook and the portals have empty bands because nobody has built them, and those are the price list's shape for what is coming.</w:t>
              <w:br/>
              <w:t>• A school can read its own plan. Every config.* key is platform-scoped, so no school role held one and the grant guard would refuse to give one, which left every school screen asking a role question instead: always yes for an administrator, and silent about what the school bought. A self-scoped read now answers it with no permission key, for the caller's own tenant only and reporting states rather than the entitlement rows behind them. It is open before go-live, because a school's navigation is first drawn while it is still pending.</w:t>
              <w:br/>
              <w:t>• Bulk import is Core rather than Plus. It is one band for the whole platform, so its depth is not a fact about one screen: every import key answers to it, and pricing it above the cheapest plan closed the template list, the batch history and the upload together. A school arriving with four hundred children in a spreadsheet had no way in, on the plan most schools start on, at the one moment the product asks them to load data. Data export stays at Plus, which is the reverse case: a school that has already loaded its records is asking to take them out in bulk.</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p w14:paraId="7CDC09B0" w14:textId="77777777" w:rsidR="00472341" w:rsidRDefault="00000000">
            <w:pPr>
              <w:spacing w:after="60" w:before="0" w:line="240" w:lineRule="auto"/>
            </w:pPr>
            <w:r>
              <w:rPr>
                <w:rFonts w:ascii="Aptos Narrow" w:hAnsi="Aptos Narrow"/>
                <w:b w:val="0"/>
                <w:color w:val="000000"/>
                <w:sz w:val="16"/>
              </w:rPr>
              <w:t>▸  Tenant-composed approver groups, with no role provisioned to fill them</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01971CB" w14:textId="77777777" w:rsidR="00472341" w:rsidRDefault="00000000">
            <w:pPr>
              <w:keepNext/>
              <w:spacing w:after="0" w:before="0" w:line="240" w:lineRule="auto"/>
              <w:jc w:val="left"/>
            </w:pPr>
            <w:r>
              <w:rPr>
                <w:rFonts w:ascii="Aptos Narrow" w:hAnsi="Aptos Narrow"/>
                <w:b w:val="0"/>
                <w:color w:val="000000"/>
                <w:sz w:val="16"/>
              </w:rPr>
              <w:t>NEEDS ATTENTION</w:t>
              <w:br/>
              <w:t>• An approval route with no steps is refused rather than treated as approval. A tenant that has not built its ladder resolves to the shared platform row, which carries no steps, and submission raises a named refusal that the submitter may confirm past. The confirmation is recorded against whoever gives it, so an unreviewed post is a decision somebody made rather than a silence.</w:t>
              <w:br/>
              <w:t>• Continue-without-approval remains available only where a document handler permits it. Payouts forbid it; permitted document types still rely on audit rather than a second reviewer.</w:t>
              <w:b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issuer, entity, or tenant branding and use one polished, email-client-safe layout.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br/>
              <w:t>• Import notifications are the module's own rows and are not dispatched through Module 8. There is no email, no bell entry and no delivery record, and the feed requires a platform key, so the school administrator who started an import cannot read the notice about it.</w:t>
              <w:br/>
              <w:t>• A run cannot be stopped once it has started. Cancellation covers only the statuses before execution and the row loop checks nothing, so a long import of a wrong file must finish and then be rolled back.</w:t>
              <w:br/>
              <w:t>• Execution reads the batch's stored preview rows with no streaming path, so the practical file size is bounded by one JSON column and one in-memory list. No limit is stated or enforced.</w:t>
              <w:b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In use: 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176 tests. Documented by M12 FRD v2.1 and built from the Staff Management design of 30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Two of the ten capabilities above are not evidenced, and are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That is recorded rather than worked around: no second organization structure was built, which is what the previous revision asked for. And availability indicators: leave is recorded and approved, and nothing states whether somebody is free at a given hour, because no contract records hours and a half-built answer would be read as a real one.</w:t>
              <w:b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br/>
              <w:t>• Field-level access is not applied to the staff payload. The account half is a labelled object rather than merged into the record, and documents are served only through the authenticated media view, but no field on the record is restricted by grant the way the pay figures are.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sz w:val="16"/>
              </w:rPr>
              <w:t>• The invoice pay link is served end to end by the backend, but the page it addresses belongs to the public application and is not built. Until it is, a customer clicking Pay online reaches nothing.</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b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now presents structured order, delivery, payment, attachment, note, and buyer-contact details.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60" w:before="0" w:line="240" w:lineRule="auto"/>
            </w:pPr>
            <w:r>
              <w:rPr>
                <w:rFonts w:ascii="Aptos Narrow" w:hAnsi="Aptos Narrow"/>
                <w:b/>
                <w:color w:val="A86800"/>
                <w:sz w:val="17"/>
              </w:rPr>
              <w:t>CURRENT DECISION</w:t>
            </w:r>
          </w:p>
          <w:p w14:paraId="353E0304" w14:textId="77777777" w:rsidR="00472341" w:rsidRDefault="00000000">
            <w:pPr>
              <w:spacing w:after="40" w:before="0" w:line="240" w:lineRule="auto"/>
              <w:ind w:left="86" w:hanging="86"/>
            </w:pPr>
            <w:r>
              <w:rPr>
                <w:rFonts w:ascii="Aptos Narrow" w:hAnsi="Aptos Narrow"/>
                <w:b w:val="0"/>
                <w:color w:val="000000"/>
                <w:sz w:val="16"/>
              </w:rPr>
              <w:t>• New export runs use short XR-&lt;tenant_id&gt;&lt;YYMMDD&gt;&lt;n&gt; references from the shared locked tenant sequence. The counter is unpadded and restarts for each tenant and day; the tenant id and date keep the full reference globally unique.</w:t>
            </w:r>
          </w:p>
          <w:p>
            <w:pPr>
              <w:spacing w:before="0" w:after="40" w:line="240" w:lineRule="auto"/>
            </w:pPr>
            <w:r>
              <w:rPr>
                <w:rFonts w:ascii="Aptos Narrow" w:hAnsi="Aptos Narrow"/>
                <w:b w:val="0"/>
                <w:color w:val="000000"/>
                <w:sz w:val="16"/>
              </w:rPr>
              <w:t>• Counter allocation and run insertion share one transaction, so a rejected run does not consume a reference. Existing RUN- values remain unchanged.</w:t>
            </w:r>
          </w:p>
          <w:p>
            <w:pPr>
              <w:spacing w:before="0" w:after="40" w:line="240" w:lineRule="auto"/>
            </w:pPr>
            <w:r>
              <w:rPr>
                <w:rFonts w:ascii="Aptos Narrow" w:hAnsi="Aptos Narrow"/>
                <w:b w:val="0"/>
                <w:color w:val="000000"/>
                <w:sz w:val="16"/>
              </w:rPr>
              <w:t>• Module 26 remains Backend Complete and In use Complete with 16 capability entries and no identified material gap. Focused verification passed 15 ExportRun tests and 9 branch-scope tests. The wider fail-fast run stopped after 38 tests on the unrelated uncommitted school.students dataset, which has no locked column.</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Stand up the Celery worker and broker and take the web service out of eager mode. Eager mode has no beat scheduler, so every periodic task is inert: overdue fees are never chased, an approved payout that was never dispatched is never recovered, and gateway money that failed to book raises no alarm.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v2.69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records the product catching up with its own gate, and two corrections the catching-up exposed. What a school is offered, what its checklist asks of it and what it can read about its own plan now all answer the question the gate answers; loading data is on every plan rather than above the cheapest one; and school creation stopped asking a question whose answer changed nothing.</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655"/>
        <w:gridCol w:w="5832"/>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rPr>
        <w:tc>
          <w:tcPr>
            <w:tcW w:w="266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v2.69 capability delta</w:t>
            </w:r>
          </w:p>
        </w:tc>
        <w:tc>
          <w:tcPr>
            <w:tcW w:w="1656"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5832"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role builder's availability flag</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Repointed at the gate</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Picker and gate resolve a permission's capability through one function. Offered-but-refused went from 148 keys to none on a Basic school; of 342 tenant keys, 165 are offered and 177 refused, and the two now partition the set.</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Why a control is dimmed</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Returned as data</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Each catalogue entry carries the band, its depth label and a sentence. A drawer can group by depth and say what a box is waiting on rather than greying it silently.</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reading its own plan</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self-scoped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/v1/config/my-capabilities/ answers for the caller's own tenant with no permission key. Every config.* key is platform-scoped, so no school role held one and none could be granted.</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Tier names in a refusal</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Removed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refusal names the product and says to contact CodeX. Depth remains on the response as band and depth_label for the console and the builder.</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import</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to Core</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import key answers to this one band, so pricing it at Plus took the engine away from a Basic school entirely: the template list was refused and its onboarding step rendered empty. Loading a roll from a file is how a school arrives.</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selection at school creation</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Removed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plan grants every module and sets the depth, so the list narrowed nothing and invited an operator to think they had turned Procurement off. Field, validation, wizard step and import column all gone; a payload still carrying one is ignored, not refused.</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onboarding upload step</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Conditional on the plan</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catalog entry answers the plan through a seam built for it and never used. With bulk import at Core every school is given the card today; the seam is what keeps that true if it ever moves again.</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plan change mid-onboarding</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Tops up the checklist</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 upgrade adds the step it opens. Provisioning adds and never removes, so a downgrade cannot take away a step a school has already completed.</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frontend permission registry</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Brought level</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Thirteen keys the backend grants school roles had no name in the app, which hides a screen from a school entitled to it with nothing failing.</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What a school pays</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Still not built</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 rate, no floor, no billing unit and no term. Unchanged by this revision and still the gap between a priced product and an invoiced one.</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8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v2.69</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v2.69</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2.69</cp:version>
</cp:coreProperties>
</file>