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1.19</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1.19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6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31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v2.53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schools/core/fal,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v2.66, with nineteen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Operator suspension, reactivation, recoverable deletion, normal login-session revocation, and the handling of closed or deleted Schools and Branches remain open.</w:t>
              <w:br/>
              <w:t>• The existing creation, administrator, sign-in address, main-Branch, audit, Branch ceiling, reset, and update-scope controls remain unchanged.</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now inside that same transaction. The set of books and Module 9 onboarding control room remain best effort inside their own savepoints because neither is the credential needed to operate the new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201 response persists one School, one protected Tenant, at least one Branch with exactly one main, and every required administrator account, scoped role assignment, invitation record, and admin link. A missing Branch is rejected before writes. Any required administrator provisioning failure returns 503 and leaves none of those creation records behind.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000000"/>
                <w:sz w:val="17"/>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Queued from inside the savepoint, it handed the worker an invitation id the database had not published, so a worker that started first sent nothing while the administrator link already read SENT, and a creation that rolled back afterwards could still email an activation link for an account that no longer existed.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SENT administrator link.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visible invitation state. An address named at more than one Branch produces one account and invitation and one grant at each Branch. A failed standalone provisioning attempt returns 503 and removes only the new Branch transaction; a nested failure removes the whole new School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selects an active PackagePlan, records the subscription expiry, and grants every module at the depth that plan reaches. No plan caps how many students, staff, administrators or Branches a School may have.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enabled_modules list a client still sends is accepted and narrows nothing, so a frontend that has not caught up keeps working. PackagePlan carries no capacity columns, and branch_ceiling_refusal is removed from both paths by which a School gains a site.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a School with a plan grants every sellable module, including one the client did not name,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crest is served to anybody signed in to that school - it is the sidebar, the favicon and the letterhead - and to nobody outside it. The URL is signed for one person and expires.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still rejected as 'No changes detected' before branding is upserted, because the change counter runs over direct School fields and branding is popped off the payload before it is counted (Section 9).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whose name or type was left blank by a path outside these serializers can still have its address corrected, and can still be refused when it is the name itself that is being blanked.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There is still no operator suspend or reactivate for commercial reasons, no DELETED state, no soft-delete field, no general lifecycle endpoint in this module, and no guarded delete service. Normal LoginSession rows and their tokens are not revoked by this change,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the required primary School administrator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503 and roll back creation if required administrator provisioning fails.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Site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and subscription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PackagePlanModuleDepth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module a plan reaches differently from the rest</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One-to-one School; no persona column, so the record cannot disagree with the role assignment that grants the authority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One-to-one Branch; no persona column, for the same reason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the School ID,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Partial update scope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a field the request actually sent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Configuration reset confirmation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confirmation_token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Required administrator provisioning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 abstraction layer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Provisions and resolves a school's set of books. It is the only place this module's school vocabulary meets the finance engines, and the reason this module holds no finance model beyond reading back the entity it was given.</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 and Branch administrator roles and assignments. Fresh installations receive the school_admin and branch_admin prebuilt templates from the school-app migration, while existing or deactivated rows are preserved.</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 records; request activation email delivery. Creation guarantees the durable request records, not successful downstream delivery or activation.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 and lifecycle-security provider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 operator activation, suspension, reactivation, recoverable soft deletion, guarded hard deletion, normal login-session effects, and audit evidence. Onboarding expiry and manual reinstatement now cover the onboarding case and close active impersonation sessions transactionally.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School update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that changes only the logo. It is rejected as 'No changes detected' before branding is upserted, because the change counter runs over direct School fields and branding is popped off the payload before it is counted. The audit half of this item is resolved and has left with it: School update and configuration reset now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color w:val="355B9D"/>
                <w:sz w:val="16"/>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color w:val="355B9D"/>
                <w:sz w:val="16"/>
              </w:rPr>
              <w:t>Nothing prices the plan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v2.50 to the controlling functional requirement in this FRD. All eighteen entries remain represented. Transactional proxy shutdown strengthens the existing status and lifecycle capability without adding a new product surface or changing the count.</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setting one depth for every module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Required administrator creation is atomic with its parent; a reused address named at more than one posting receives every scoped grant. Delivery and activation remain separate lifecycle steps.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Authorised, expiring access to school branding files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bl>
    <w:p>
      <w:r>
        <w:br w:type="page"/>
      </w:r>
    </w:p>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v1.19</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v1.19</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1.19</cp:version>
</cp:coreProperties>
</file>