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M21 | Vendor Management</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1.3</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7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at 178f172 plus approved payout hardening worktree (25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v2.32 | Module 21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vs_payments,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and verified bank detail, including the provider bank code, with field-level protection over the sensitive parts.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KYC status, risk indicators, and the hold flag that block new orders and payouts; bank changes invalidate prior 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 vendor's bank and tax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sensitive-field key, on both read and write paths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Vendor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Read per-vendor spend, fulfilment and payment performance, and record assessments.</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and procurement.vendor_assessment.create. Both sit at Procurement Advanced; the category and catalogue insights beside them stay on procurement.report.view at Plus.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Contact, tax, bank name, bank code, account name, and account number are protected by field-level RBAC on serialization and mutation. Read and write use the same sensitive policy.</w:t>
            </w:r>
          </w:p>
          <w:p w:rsidR="00A62A3E" w:rsidRDefault="00000000">
            <w:pPr>
              <w:spacing w:after="20"/>
              <w:ind w:left="86" w:hanging="86"/>
            </w:pPr>
            <w:r>
              <w:rPr>
                <w:sz w:val="16"/>
              </w:rPr>
              <w:t>• Bank detail is also payment authority. A change resets KYC to PENDING even when the same request tries to mark it VERIFIED, so changed coordinates need a fresh compliance decision.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Categories must be reorganisable without changing what past documents said.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vendor record must carry the governed destination needed to trade and to pay, with every payable field protected.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profile carries identity, status, contacts, tax and withholding configuration, bank name, provider bank code, account name, and account number. Sensitive fields are gated on read and write. Model-level normalization protects non-API saves, and a bank-field change resets KYC to PENDING.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caller without the sensitive key neither sees nor can change bank detail. A bank change cannot remain VERIFIED in the same save. Payments use the current vendor master as the destination and reject caller-supplied values that do not match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independent beneficiary-verification provider call exists; VERIFIED remains an internal compliance decision whose exact destination is enforced by the payout service.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same supplier must not be onboardable twice, even by two people at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supplier under investigation must be stoppable without deleting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carries active status, a hold flag, and KYC status. Payables checks hold and KYC before interactive payment. Module 18 also requires active, verified, not-held status at payout creation and rechecks it with the destination immediately before provider dispatch.</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gates live in services, not screens. A bank change resets KYC; a hold, deactivation, KYC change, or destination change after approval prevents provider dispatch. The vendor record remains readable for history.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should get sensible line defaults without those defaults later rewriting an issued order.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lifecycle transitions must be consistent wherever they are triggered from.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term agreement should be visible as expiring before it expires.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renewals endpoint surfaces the contracts a buyer should chase, and expiry is a modelled transition rather than an absence of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Performance must be recordable as evidence, not as a mutable opinion.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Assessments are point-in-time scorecards, list and create only, with no edit path. Viewing rides the reporting key because it feeds the vendor performance report; recording one needs its own dedicated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realised spend and payment position per vendor, not just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Vendor insight, category insight, catalogue usage insight, the vendor spend analysis and the vendor performance report are served as entity-scoped reads over the AP sub-ledger.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Paying a supplier ahead of their invoice must not read as the supplier owing the entity money.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and its withholding code.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Governs selection and is rechecked before provider payout.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Blocks new purchase orders, interactive payment, payout creation, and payout dispatch.</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Independent payment gate. Every bank-field change resets VERIFIED to PENDING.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bank name and code, account, hold, and KYC.</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Sensitive fields gated on read and write; bank changes reset KYC.</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in payables and before payout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Reading or writing bank detail without the sensitive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Changing any vendor bank field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save succeeds but KYC becomes PENDING; a fresh verification is required before payout.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Approved payout no longer matches the current vendor master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the provider call; recreate and approve a new payout batch.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Invites these vendors to quote and defaults requisition lines from this catalogue.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Enforces hold and KYC for payables, applies withholding, and owns vendor advances.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and the field-level policy over contacts, tax and bank detail.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Uses the active verified vendor record as the authoritative payout destination and revalidates it at provider dispatch.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Vendor work has no capability of its own: the register, contacts and categories answer to Procurement's Core band, catalogue items and vendor bills to Plus, and assessments and performance to Advanced. The former vendors capability is archived rather than deleted, because entitlements, overrides and audit history point at it.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limitations,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NO MATERIAL CAPABILITY GAP IN SCOPE</w:t>
            </w:r>
          </w:p>
          <w:p w:rsidR="00A62A3E" w:rsidRDefault="00000000">
            <w:pPr>
              <w:spacing w:after="20"/>
              <w:ind w:left="86" w:hanging="86"/>
            </w:pPr>
            <w:r>
              <w:rPr>
                <w:sz w:val="16"/>
              </w:rPr>
              <w:t>• Verified vendor bank detail is now enforced as the payout destination. The provider bank code is governed with the other bank fields, and any banking change resets KYC before money can move again.</w:t>
            </w:r>
          </w:p>
          <w:p w:rsidR="00A62A3E" w:rsidRDefault="00000000">
            <w:pPr>
              <w:spacing w:after="20"/>
              <w:ind w:left="86" w:hanging="86"/>
            </w:pPr>
            <w:r>
              <w:rPr>
                <w:sz w:val="16"/>
              </w:rPr>
              <w:t>• Vendor prepayment accounting remains complete: the payment debit is split at source, later drawdown reclassifies the advance, and the historical backfill remains in place.</w:t>
            </w:r>
          </w:p>
          <w:p w:rsidR="00A62A3E" w:rsidRDefault="00000000">
            <w:pPr>
              <w:spacing w:after="20"/>
              <w:ind w:left="86" w:hanging="86"/>
            </w:pPr>
            <w:r>
              <w:rPr>
                <w:sz w:val="16"/>
              </w:rPr>
              <w:t>• What follows are current design limitations rather than missing capability.</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spacing w:after="120"/>
      </w:pPr>
      <w:r>
        <w:t>Module 21 carries 13 capability entries in MRD v2.32.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contacts and verified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how vendor work is sold. Vendor insights, performance scoring and assessments moved from procurement.report.view to a new procurement.analytics.view, because one key covered both a category insight and a spend analysis and those are sold at different depths; the shallow insights keep the reporting key. Migration 0016 carried every grant of the reporting key onto the analytics key, denies included, so no holder lost a report. The vendors capability is retired and archived: vendor work is the shallow end of Procurement rather than a separate purchase, and a second Core band beside Procurement's own was a distinction nothing could act on, since a school reaching one always reached the other. The register, contacts and categories are Procurement Core; catalogue items and vendor bills and payments are Plus; assessments and performance are Advanced. No model, route, refusal code or audit action changed. Verified by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vendor master the authoritative payout destination. Vendor now carries the provider bank code under the same field-level policy as account name and number. Any bank-field change resets KYC to PENDING, including a request that tries to change the destination and reverify it at once. Module 18 requires an active, verified, not-held vendor with complete bank detail at creation, snapshots that destination, and rechecks the live master before provider dispatch. FR-002, FR-004, controls, data, validation, dependencies, and traceability are reconciled to Payments FRD v1.2 and MRD v2.32.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MRD v2.10 cleared the vendor-prepayment item this module had been carrying. FR-010 no longer points at an MRD entry that has gone, and Section 9 states plainly that no material capability gap remains in scope, leaving only the design limitations.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M21 Vendor Management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M21 Vendor Management Functional Requirements Document v1.3</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1.3</cp:version>
</cp:coreProperties>
</file>