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t>X</w:t>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1.1</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v2.10 | Module 21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Identity, status, contacts, tax and bank detail, and the field-level policy over the sensitive parts.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 and risk indicators, and the hold flag that blocks new orders and payments.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 vendor's bank and tax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sensitive-field key, on both read and write paths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xml:space="preserve">• Contact, tax and bank fields are protected by field-level RBAC on serialization and on mutation. Hiding a field on read while leaving it writable would be a hole rather than a control, so both directions are gated by the same policy.</w:t>
            </w:r>
          </w:p>
          <w:p w:rsidR="00A62A3E" w:rsidRDefault="00000000">
            <w:pPr>
              <w:spacing w:after="20"/>
              <w:ind w:left="86" w:hanging="86"/>
            </w:pPr>
            <w:r>
              <w:rPr>
                <w:sz w:val="16"/>
              </w:rPr>
              <w:t xml:space="preserve">• Vendor bank detail is the field a fraudster changes, not the one they read. The mutation path is the important half.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Categories must be reorganisable without changing what past documents said.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record must carry what is needed to trade and to pay, with the payable detail protected.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profile carries identity, status, contacts, tax configuration including the withholding-tax code that drives deduction at payment, and bank detail. The sensitive fields are gated by field-level RBAC on both serialization and mutation.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without the sensitive key neither sees nor can change bank detail. The withholding code is part of the vendor record, so a payment cannot silently deduct at a rate nobody configured.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same supplier must not be onboardable twice, even by two people at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supplier under investigation must be stoppable without deleting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vendor carries a hold flag and a KYC status. Both are payment gates the payables service checks before cutting a payment, and the hold also blocks new purchase orders.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is enforced in the payables service rather than only in a screen, so an API caller hits it too. The record survives, so history and open documents remain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should get sensible line defaults without those defaults later rewriting an issued order.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lifecycle transitions must be consistent wherever they are triggered from.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term agreement should be visible as expiring before it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renewals endpoint surfaces the contracts a buyer should chase, and expiry is a modelled transition rather than an absence of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Performance must be recordable as evidence, not as a mutable opinion.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Assessments are point-in-time scorecards, list and create only, with no edit path. Viewing rides the reporting key because it feeds the vendor performance report; recording one needs its own dedicated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buyer needs realised spend and payment position per vendor, not just documents.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Vendor insight, category insight, catalogue usage insight, the vendor spend analysis and the vendor performance report are served as entity-scoped reads over the AP sub-ledger.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Paying a supplier ahead of their invoice must not read as the supplier owing the entity money.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Governs whether the vendor may be selected on new documents.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Blocks new purchase orders and blocks payment, checked in the payables service rather than only in a screen.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second payment gate, independent of the hold flag.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Identity, status, contacts, tax, bank, hold and KYC.</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Sensitive fields gated on read and write.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payables service, not only in the screen.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Reading or writing bank detail without the sensitive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Invites these vendors to quote and defaults requisition lines from this catalogue.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Enforces the hold and KYC gates at payment, applies the withholding code, and owns the advance posting and drawdown described in FR-010.</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and the field-level policy over contacts, tax and bank detail.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xml:space="preserve">• Vendor prepayment accounting, which MRD v2.9.1 still carried as an open item against this module, is complete and was cleared in MRD v2.10. The payment debit is split at source, applying an advance to a later bill reclassifies it on the later of the two dates, and a one-time backfill corrects historical prepayments and re-seeds the advance account.</w:t>
            </w:r>
          </w:p>
          <w:p w:rsidR="00A62A3E" w:rsidRDefault="00000000">
            <w:pPr>
              <w:spacing w:after="20"/>
              <w:ind w:left="86" w:hanging="86"/>
            </w:pPr>
            <w:r>
              <w:rPr>
                <w:sz w:val="16"/>
              </w:rPr>
              <w:t xml:space="preserve">• What follows are limitations of the current design rather than missing capability. They are recorded so a reader is not surprised by them, not as work the module is waiting on.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21 carries 13 capability entries in MRD v2.10.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contacts and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0/"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