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2.10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Current backend codebase at 3ba18f81950df3e826bf8955aabaea58d9a0ff06 (13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A4EB30C" w14:textId="77777777" w:rsidR="00472341" w:rsidRDefault="00000000">
            <w:pPr>
              <w:spacing w:after="0" w:before="0" w:line="240" w:lineRule="auto"/>
              <w:jc w:val="left"/>
            </w:pPr>
            <w:r>
              <w:rPr>
                <w:rFonts w:ascii="Aptos Narrow" w:hAnsi="Aptos Narrow"/>
                <w:b w:val="0"/>
                <w:color w:val="000000"/>
                <w:sz w:val="17"/>
              </w:rPr>
              <w:t>404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355B9D"/>
                <w:sz w:val="18"/>
              </w:rPr>
              <w:t>5. v2.10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Evidence corrected in this revision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24</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21</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17</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18EEAC2" w14:textId="77777777" w:rsidR="00472341" w:rsidRDefault="00000000">
            <w:pPr>
              <w:spacing w:after="0"/>
              <w:jc w:val="center"/>
            </w:pPr>
            <w:r>
              <w:rPr>
                <w:color w:val="000000"/>
                <w:sz w:val="14"/>
              </w:rPr>
              <w:t>10</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seeded per tenant and never auto-skip; wiring the seed into school onboarding remains open.</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published per tenant by command or endpoint. Seeding them during onboarding remains open.</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rPr>
          <w:color w:val="000000"/>
          <w:sz w:val="17"/>
        </w:rPr>
        <w:t>Tenant-aware support queue with comments, files, assignments, controlled status changes, notifications,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v2.10 Documentation Delta</w:t>
      </w:r>
    </w:p>
    <w:p w14:paraId="4C4A5E5A" w14:textId="77777777" w:rsidR="00472341" w:rsidRDefault="00000000">
      <w:pPr>
        <w:spacing w:after="100" w:line="240" w:lineRule="auto" w:before="0"/>
      </w:pPr>
      <w:r>
        <w:rPr>
          <w:rFonts w:ascii="Aptos Narrow" w:hAnsi="Aptos Narrow"/>
          <w:b w:val="0"/>
          <w:color w:val="000000"/>
          <w:sz w:val="18"/>
        </w:rPr>
        <w:t>This revision records one gap closing. Module numbering, the status model, the capability counts and the priority gaps are unchanged. The evidence for v2.9 and v2.9.1 is in the change log.</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5C12739E" w14:textId="77777777" w:rsidR="00472341" w:rsidRDefault="00000000">
            <w:pPr>
              <w:spacing w:after="0" w:before="0" w:line="240" w:lineRule="auto"/>
              <w:jc w:val="left"/>
            </w:pPr>
            <w:r>
              <w:rPr>
                <w:rFonts w:ascii="Aptos Narrow" w:hAnsi="Aptos Narrow"/>
                <w:b/>
                <w:color w:val="FFFFFF"/>
                <w:sz w:val="17"/>
              </w:rPr>
              <w:t>v2.10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4AEA54D5" w14:textId="77777777" w:rsidR="00472341" w:rsidRDefault="00000000">
            <w:pPr>
              <w:spacing w:after="0" w:before="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14:paraId="1AC54074" w14:textId="77777777" w:rsidR="00472341" w:rsidRDefault="00000000">
            <w:pPr>
              <w:spacing w:after="0" w:before="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Vendor prepayment accounting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vendor payment debits accounts payable only for what it settles and holds the remainder in the vendor-advance asset, so accounts payable can no longer carry a debit balance. Applying an advance to a later bill reclassifies it on the later of the two documents' dates, and a one-time backfill reclassifies historical prepayments and re-seeds the advance account where it did not exist.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21 needs attention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prepayment item was the module's only open entry. With it resolved, Module 21 carries the same current-decision note as the other modules with no material capability gap in scope.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21 status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Complete and Integration Partial. Clearing the item changes what is outstanding, not the module's state.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call the per-tenant approval seeds and role provisioning during onboarding rather than by hand.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