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2.73</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2.73</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9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Documentation change reconciling Modules 25 and 26 to their first Functional Requirements Documents, and moving their accumulated detail out of the tracker and into them (9 September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492</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v2.73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Modules 25 and 26 reconciled to their first FRDs</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50262E0" w14:textId="77777777" w:rsidR="00472341" w:rsidRDefault="00000000">
            <w:pPr>
              <w:spacing w:after="0" w:before="0" w:line="240" w:lineRule="auto"/>
              <w:jc w:val="center"/>
            </w:pPr>
            <w:r>
              <w:rPr>
                <w:rFonts w:ascii="Aptos Narrow" w:hAnsi="Aptos Narrow"/>
                <w:b w:val="0"/>
                <w:color w:val="000000"/>
                <w:sz w:val="14"/>
              </w:rPr>
              <w:t>21</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7C8A68" w14:textId="77777777" w:rsidR="00472341" w:rsidRDefault="00000000">
            <w:pPr>
              <w:spacing w:after="0" w:before="0" w:line="240" w:lineRule="auto"/>
              <w:jc w:val="center"/>
            </w:pPr>
            <w:r>
              <w:rPr>
                <w:rFonts w:ascii="Aptos Narrow" w:hAnsi="Aptos Narrow"/>
                <w:b w:val="0"/>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E5FBCB" w14:textId="77777777" w:rsidR="00472341" w:rsidRDefault="00000000">
            <w:pPr>
              <w:spacing w:after="0" w:before="0" w:line="240" w:lineRule="auto"/>
              <w:jc w:val="center"/>
            </w:pPr>
            <w:r>
              <w:rPr>
                <w:rFonts w:ascii="Aptos Narrow" w:hAnsi="Aptos Narrow"/>
                <w:b w:val="0"/>
                <w:color w:val="000000"/>
                <w:sz w:val="14"/>
              </w:rPr>
              <w:t>21</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FFE211" w14:textId="77777777" w:rsidR="00472341" w:rsidRDefault="00000000">
            <w:pPr>
              <w:spacing w:after="0" w:before="0" w:line="240" w:lineRule="auto"/>
              <w:jc w:val="center"/>
            </w:pPr>
            <w:r>
              <w:rPr>
                <w:rFonts w:ascii="Aptos Narrow" w:hAnsi="Aptos Narrow"/>
                <w:b w:val="0"/>
                <w:color w:val="000000"/>
                <w:sz w:val="14"/>
              </w:rPr>
              <w:t>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FD1799B" w14:textId="77777777" w:rsidR="00472341" w:rsidRDefault="00000000">
            <w:pPr>
              <w:spacing w:after="0" w:before="0" w:line="240" w:lineRule="auto"/>
              <w:jc w:val="center"/>
            </w:pPr>
            <w:r>
              <w:rPr>
                <w:rFonts w:ascii="Aptos Narrow" w:hAnsi="Aptos Narrow"/>
                <w:b w:val="0"/>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8BFD5D7" w14:textId="77777777" w:rsidR="00472341" w:rsidRDefault="00000000">
            <w:pPr>
              <w:spacing w:after="0" w:before="0" w:line="240" w:lineRule="auto"/>
              <w:jc w:val="center"/>
            </w:pPr>
            <w:r>
              <w:rPr>
                <w:rFonts w:ascii="Aptos Narrow" w:hAnsi="Aptos Narrow"/>
                <w:b w:val="0"/>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AE21702" w14:textId="77777777" w:rsidR="00472341" w:rsidRDefault="00000000">
            <w:pPr>
              <w:spacing w:after="0" w:before="0" w:line="240" w:lineRule="auto"/>
              <w:jc w:val="center"/>
            </w:pPr>
            <w:r>
              <w:rPr>
                <w:rFonts w:ascii="Aptos Narrow" w:hAnsi="Aptos Narrow"/>
                <w:b w:val="0"/>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F3AF83" w14:textId="77777777" w:rsidR="00472341" w:rsidRDefault="00000000">
            <w:pPr>
              <w:spacing w:after="0" w:before="0" w:line="240" w:lineRule="auto"/>
              <w:jc w:val="center"/>
            </w:pPr>
            <w:r>
              <w:rPr>
                <w:rFonts w:ascii="Aptos Narrow" w:hAnsi="Aptos Narrow"/>
                <w:b w:val="0"/>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2994902" w14:textId="77777777" w:rsidR="00472341" w:rsidRDefault="00000000">
            <w:pPr>
              <w:spacing w:after="0" w:before="0" w:line="240" w:lineRule="auto"/>
              <w:jc w:val="center"/>
            </w:pPr>
            <w:r>
              <w:rPr>
                <w:rFonts w:ascii="Aptos Narrow" w:hAnsi="Aptos Narrow"/>
                <w:b w:val="0"/>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0A20CBA" w14:textId="77777777" w:rsidR="00472341" w:rsidRDefault="00000000">
            <w:pPr>
              <w:spacing w:after="0" w:before="0" w:line="240" w:lineRule="auto"/>
              <w:jc w:val="center"/>
            </w:pPr>
            <w:r>
              <w:rPr>
                <w:rFonts w:ascii="Aptos Narrow" w:hAnsi="Aptos Narrow"/>
                <w:b w:val="0"/>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80F03D" w14:textId="77777777" w:rsidR="00472341" w:rsidRDefault="00000000">
            <w:pPr>
              <w:spacing w:after="0" w:before="0" w:line="240" w:lineRule="auto"/>
              <w:jc w:val="center"/>
            </w:pPr>
            <w:r>
              <w:rPr>
                <w:rFonts w:ascii="Aptos Narrow" w:hAnsi="Aptos Narrow"/>
                <w:b w:val="0"/>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br/>
              <w:t>• A plan no longer caps a school's size. The student, teacher and administrator ceilings were stored and read by nothing, and the branch ceiling was enforced on both creation paths, so the cheapest tier refused a proprietor the fourth site she had planned for months. All four are removed and size is priced rather than fenced, which leaves the depth wall as the only thing that moves a school up a tier.</w:t>
              <w:br/>
              <w:t>• Nothing yet prices it. The plan carries no rate, no floor and no billing unit, and no term headcount is taken from the student register, so what a school is charged is still decided outside the platform.</w:t>
              <w:b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The registry requires that scope when a key is created, and its module, resource and action identity cannot be renamed through a supported update. Each permission records the product capability that governs it, and a second gate refuses a request the caller's role allows but the school's plan does not reach, with a refusal of its own.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procurement and payments</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710CD5E8"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v1.0.</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Five current gaps are recorded in the FRD rather than here. The first is the shape of the module rather than an oversight: a setting a school ought to own for itself has no route, and one would have to be introduced deliberately.</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60" w:before="0" w:line="240" w:lineRule="auto"/>
            </w:pPr>
            <w:r>
              <w:rPr>
                <w:rFonts w:ascii="Aptos Narrow" w:hAnsi="Aptos Narrow"/>
                <w:b w:val="0"/>
                <w:color w:val="000000"/>
                <w:sz w:val="16"/>
              </w:rPr>
              <w:t>▸  Tenant-composed approver groups, with no role provisioned to fill them</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01971CB" w14:textId="77777777" w:rsidR="00472341" w:rsidRDefault="00000000">
            <w:pPr>
              <w:keepNext/>
              <w:spacing w:after="0" w:before="0" w:line="240" w:lineRule="auto"/>
              <w:jc w:val="left"/>
            </w:pPr>
            <w:r>
              <w:rPr>
                <w:rFonts w:ascii="Aptos Narrow" w:hAnsi="Aptos Narrow"/>
                <w:b w:val="0"/>
                <w:color w:val="000000"/>
                <w:sz w:val="16"/>
              </w:rPr>
              <w:t>NEEDS ATTENTION</w:t>
              <w:br/>
              <w:t>• An approval route with no steps is refused rather than treated as approval. A tenant that has not built its ladder resolves to the shared platform row, which carries no steps, and submission raises a named refusal that the submitter may confirm past. The confirmation is recorded against whoever gives it, so an unreviewed post is a decision somebody made rather than a silence.</w:t>
              <w:br/>
              <w:t>• Continue-without-approval remains available only where a document handler permits it. Payouts forbid it; permitted document types still rely on audit rather than a second reviewer.</w:t>
              <w:b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issuer, entity, or tenant branding and use one polished, email-client-safe layout.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br/>
              <w:t>• Import notifications are the module's own rows and are not dispatched through Module 8. There is no email, no bell entry and no delivery record, and the feed requires a platform key, so the school administrator who started an import cannot read the notice about it.</w:t>
              <w:br/>
              <w:t>• A run cannot be stopped once it has started. Cancellation covers only the statuses before execution and the row loop checks nothing, so a long import of a wrong file must finish and then be rolled back.</w:t>
              <w:br/>
              <w:t>• Execution reads the batch's stored preview rows with no streaming path, so the practical file size is bounded by one JSON column and one in-memory list. No limit is stated or enforced.</w:t>
              <w:b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176 tests. Documented by M12 FRD v2.1 and built from the Staff Management design of 30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Two of the ten capabilities above are not evidenced, and are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That is recorded rather than worked around: no second organization structure was built, which is what the previous revision asked for. And availability indicators: leave is recorded and approved, and nothing states whether somebody is free at a given hour, because no contract records hours and a half-built answer would be read as a real one.</w:t>
              <w:b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br/>
              <w:t>• Field-level access is not applied to the staff payload. The account half is a labelled object rather than merged into the record, and documents are served only through the authenticated media view, but no field on the record is restricted by grant the way the pay figures are.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now presents structured order, delivery, payment, attachment, note, and buyer-contact details.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v1.0.</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v2.73 Capability Delta</w:t>
      </w:r>
    </w:p>
    <w:p w14:paraId="4C4A5E5A" w14:textId="77777777" w:rsidR="00472341" w:rsidRDefault="00000000">
      <w:pPr>
        <w:spacing w:after="100" w:line="240" w:lineRule="auto" w:before="0"/>
      </w:pPr>
      <w:r>
        <w:rPr>
          <w:rFonts w:ascii="Aptos Narrow" w:hAnsi="Aptos Narrow"/>
          <w:b w:val="0"/>
          <w:color w:val="000000"/>
          <w:sz w:val="18"/>
        </w:rPr>
        <w:t>This revision adds no capability and changes no status. Two more modules stop keeping their documentation in the tracker: Reporting &amp; Exports and Dashboards &amp; Operational Analytics each have an FRD now, and their entries here say where they stand rather than how they behave.</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rPr>
        <w:tc>
          <w:tcPr>
            <w:tcW w:w="266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v2.73 capability delta</w:t>
            </w:r>
          </w:p>
        </w:tc>
        <w:tc>
          <w:tcPr>
            <w:tcW w:w="19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5544"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26's decision box</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Rewritten as current state</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bullets narrating one past revision's reference format replaced by what is true now. M26 FRD v1.0 states the engine as nineteen testable requirements, including the sequenced reference those bullets described.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25's gap list</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Reconciled to M25 FRD v1.0</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tracker carried two of the four gaps the FRD now records, and none of the shape that produces them: this module owns no application, and every dashboard is served by the module whose records it summarises.</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Both modules' traceability</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All sixteen Module 26 capabilities and all twelve Module 25 capabilities map to a requirement. Counts, module statuses and integration statuses are unchanged.</w:t>
            </w:r>
          </w:p>
        </w:tc>
      </w:tr>
      <w:tr>
        <w:trPr>
          <w:cantSplit/>
        </w:trPr>
        <w:tc>
          <w:tcPr>
            <w:tcW w:type="dxa" w:w="26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Module 25 remains Partial</w:t>
            </w:r>
          </w:p>
        </w:tc>
        <w:tc>
          <w:tcPr>
            <w:tcW w:type="dxa" w:w="19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Unchanged, deliberately</w:t>
            </w:r>
          </w:p>
        </w:tc>
        <w:tc>
          <w:tcPr>
            <w:tcW w:type="dxa" w:w="55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academic half of the school has no dashboard because the modules that would produce one are planned rather than built. In use is left as recorded: adoption is not something backend evidence can establish.</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9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8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7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6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4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v2.73</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v2.73</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2.73</cp:version>
</cp:coreProperties>
</file>