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25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8af6d9d plus restricted-role assignment ceiling (25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v2.29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 reset; a unique pr_ token digest on each exact reset row;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not on a reusable user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Existing UUID invitation links are preserved by migration 0010 as invitation-only digests.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with select_for_update, repeats the unused and expiry checks, enforces User.may_hold_password, writes the password and consumes the row in one transaction. Reset and invitation tokens use different prefixes and salts. Every reset still answers silently on an unknown, out-of-scope or ineligible account and uses separate self-service and admin windows.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two concurrent confirmations produce one password write and one RESET_KEY_INVALID. Migration 0010 consumes legacy reset rows because the old schema could not safely bind an old URL to one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moves to PENDING and the invitation mail is queued,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Delivery outcome is written back by invitation id, while the raw token is absent from the notification record.</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 id to absolute photo URL. Authentication only, within the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Notification records retain a marker rather than the raw one-time credential; the delivery worker substitutes it only in memory before SMTP. Delivery signals update invitations by invitation id.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335 tests. The focused request-bound token and notification-delivery regressions pass; the full run has one pre-existing, unrelated admin-provisioning assertion described in the review handoff.</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v2.29 records Module 3 as Identity, Team &amp; Organogram, Phase V1, Backend Partial, Integration Partial, code ownership vs_user, with sixteen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Request-bound 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v2.29 lists Module 3 as Backend Partial and Integration Partial with sixteen capabilities. The restricted-role ceiling strengthens the existing account-creation boundary and does not change the count. Partial remains correct because privileged MFA and the tenant lifecycle identity effect are still absent.</w:t>
              <w:br/>
              <w:t>• The request-bound invitation and reset contract is now reflected in both documents. Module 3 keeps its capability count: this revision makes existing capabilities safe rather than adding a new product surface.</w:t>
              <w:br/>
              <w:t>• The account-action scope, identity audit permission, and account status gaps recorded in FRD v1.2 are closed and covered. They are removed from current Needs Attention rather than retained as history.</w:t>
              <w:br/>
              <w:t>• Backend evidence only. Neither document claims frontend delivery,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